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A1A2" w14:textId="086956AA" w:rsidR="00B24DDD" w:rsidRDefault="00B24DDD" w:rsidP="00B24DDD">
      <w:pPr>
        <w:jc w:val="center"/>
      </w:pPr>
      <w:r>
        <w:t>DARCY FRANCISCO CARVALHO DOS SANTOS</w:t>
      </w:r>
    </w:p>
    <w:p w14:paraId="2AFA384D" w14:textId="2F8928CD" w:rsidR="00B24DDD" w:rsidRDefault="00B24DDD" w:rsidP="00B24DDD">
      <w:pPr>
        <w:jc w:val="center"/>
      </w:pPr>
      <w:r>
        <w:t>Rua Fernando Osório, 1595 – Teresópolis – Fone 33185656 Porto Alegre-RS</w:t>
      </w:r>
    </w:p>
    <w:p w14:paraId="2598CDF2" w14:textId="56EECC88" w:rsidR="00B24DDD" w:rsidRDefault="00000000" w:rsidP="00B24DDD">
      <w:pPr>
        <w:pBdr>
          <w:bottom w:val="double" w:sz="6" w:space="1" w:color="auto"/>
        </w:pBdr>
        <w:jc w:val="center"/>
      </w:pPr>
      <w:hyperlink r:id="rId8" w:history="1">
        <w:r w:rsidR="00B24DDD" w:rsidRPr="0020277D">
          <w:rPr>
            <w:rStyle w:val="Hyperlink"/>
          </w:rPr>
          <w:t>www.finançasrs.com.gov.br</w:t>
        </w:r>
      </w:hyperlink>
      <w:r w:rsidR="00B24DDD">
        <w:t xml:space="preserve"> – </w:t>
      </w:r>
      <w:hyperlink r:id="rId9" w:history="1">
        <w:r w:rsidR="00B24DDD" w:rsidRPr="0020277D">
          <w:rPr>
            <w:rStyle w:val="Hyperlink"/>
          </w:rPr>
          <w:t>darcyfcs@terra.com.br</w:t>
        </w:r>
      </w:hyperlink>
    </w:p>
    <w:p w14:paraId="5F0581C2" w14:textId="77777777" w:rsidR="00B24DDD" w:rsidRDefault="00B24DDD" w:rsidP="00B24DDD">
      <w:pPr>
        <w:jc w:val="center"/>
      </w:pPr>
    </w:p>
    <w:p w14:paraId="5DEE2AF3" w14:textId="26270E06" w:rsidR="00B24DDD" w:rsidRDefault="00517C8C" w:rsidP="00B24DDD">
      <w:pPr>
        <w:jc w:val="center"/>
        <w:rPr>
          <w:b/>
          <w:bCs/>
        </w:rPr>
      </w:pPr>
      <w:r>
        <w:rPr>
          <w:b/>
          <w:bCs/>
        </w:rPr>
        <w:t>A</w:t>
      </w:r>
      <w:r w:rsidR="00B24DDD" w:rsidRPr="00B24DDD">
        <w:rPr>
          <w:b/>
          <w:bCs/>
        </w:rPr>
        <w:t>nálise da Proposta Orçamentária para 2024</w:t>
      </w:r>
    </w:p>
    <w:p w14:paraId="4F640985" w14:textId="77777777" w:rsidR="008A1A2A" w:rsidRDefault="008A1A2A" w:rsidP="00DC242E">
      <w:pPr>
        <w:rPr>
          <w:b/>
          <w:bCs/>
        </w:rPr>
      </w:pPr>
    </w:p>
    <w:p w14:paraId="6E1A0CC4" w14:textId="77777777" w:rsidR="00D46BE8" w:rsidRDefault="00D46BE8" w:rsidP="00DC242E">
      <w:pPr>
        <w:rPr>
          <w:b/>
          <w:bCs/>
        </w:rPr>
      </w:pPr>
    </w:p>
    <w:sdt>
      <w:sdtPr>
        <w:rPr>
          <w:rFonts w:ascii="Arial" w:eastAsiaTheme="minorHAnsi" w:hAnsi="Arial" w:cs="Arial"/>
          <w:color w:val="auto"/>
          <w:kern w:val="2"/>
          <w:sz w:val="24"/>
          <w:szCs w:val="20"/>
          <w:lang w:eastAsia="en-US"/>
          <w14:ligatures w14:val="standardContextual"/>
        </w:rPr>
        <w:id w:val="-7119550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E71738" w14:textId="3A1C7CF2" w:rsidR="00D46BE8" w:rsidRDefault="00D46BE8">
          <w:pPr>
            <w:pStyle w:val="CabealhodoSumrio"/>
          </w:pPr>
          <w:r>
            <w:t>Sumário</w:t>
          </w:r>
        </w:p>
        <w:p w14:paraId="3FB7D286" w14:textId="11FABBC2" w:rsidR="00442B23" w:rsidRDefault="00D46BE8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820431" w:history="1">
            <w:r w:rsidR="00442B23" w:rsidRPr="007C7B60">
              <w:rPr>
                <w:rStyle w:val="Hyperlink"/>
                <w:b/>
                <w:bCs/>
                <w:noProof/>
              </w:rPr>
              <w:t>1.</w:t>
            </w:r>
            <w:r w:rsidR="00442B2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="00442B23" w:rsidRPr="007C7B60">
              <w:rPr>
                <w:rStyle w:val="Hyperlink"/>
                <w:b/>
                <w:bCs/>
                <w:noProof/>
              </w:rPr>
              <w:t>Comentários iniciais</w:t>
            </w:r>
            <w:r w:rsidR="00442B23">
              <w:rPr>
                <w:noProof/>
                <w:webHidden/>
              </w:rPr>
              <w:tab/>
            </w:r>
            <w:r w:rsidR="00442B23">
              <w:rPr>
                <w:noProof/>
                <w:webHidden/>
              </w:rPr>
              <w:fldChar w:fldCharType="begin"/>
            </w:r>
            <w:r w:rsidR="00442B23">
              <w:rPr>
                <w:noProof/>
                <w:webHidden/>
              </w:rPr>
              <w:instrText xml:space="preserve"> PAGEREF _Toc147820431 \h </w:instrText>
            </w:r>
            <w:r w:rsidR="00442B23">
              <w:rPr>
                <w:noProof/>
                <w:webHidden/>
              </w:rPr>
            </w:r>
            <w:r w:rsidR="00442B23">
              <w:rPr>
                <w:noProof/>
                <w:webHidden/>
              </w:rPr>
              <w:fldChar w:fldCharType="separate"/>
            </w:r>
            <w:r w:rsidR="00442B23">
              <w:rPr>
                <w:noProof/>
                <w:webHidden/>
              </w:rPr>
              <w:t>1</w:t>
            </w:r>
            <w:r w:rsidR="00442B23">
              <w:rPr>
                <w:noProof/>
                <w:webHidden/>
              </w:rPr>
              <w:fldChar w:fldCharType="end"/>
            </w:r>
          </w:hyperlink>
        </w:p>
        <w:p w14:paraId="0A1424BE" w14:textId="743CEF7F" w:rsidR="00442B23" w:rsidRDefault="00442B2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47820432" w:history="1">
            <w:r w:rsidRPr="007C7B60">
              <w:rPr>
                <w:rStyle w:val="Hyperlink"/>
                <w:b/>
                <w:b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Pr="007C7B60">
              <w:rPr>
                <w:rStyle w:val="Hyperlink"/>
                <w:b/>
                <w:bCs/>
                <w:noProof/>
              </w:rPr>
              <w:t>Uma síntese do período 2018-2022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_Toc147820432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23A21" w14:textId="7377993D" w:rsidR="00442B23" w:rsidRDefault="00442B23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47820433" w:history="1">
            <w:r w:rsidRPr="007C7B60">
              <w:rPr>
                <w:rStyle w:val="Hyperlink"/>
                <w:b/>
                <w:bCs/>
                <w:noProof/>
              </w:rPr>
              <w:t>2.1. Receitas 2018-2022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_Toc147820433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CEB2A" w14:textId="280F65A9" w:rsidR="00442B23" w:rsidRDefault="00442B23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47820434" w:history="1">
            <w:r w:rsidRPr="007C7B60">
              <w:rPr>
                <w:rStyle w:val="Hyperlink"/>
                <w:b/>
                <w:bCs/>
                <w:noProof/>
              </w:rPr>
              <w:t>2.2. Despesas 2018-2022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_Toc147820434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688AB" w14:textId="528FAEA0" w:rsidR="00442B23" w:rsidRDefault="00442B23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47820435" w:history="1">
            <w:r w:rsidRPr="007C7B60">
              <w:rPr>
                <w:rStyle w:val="Hyperlink"/>
                <w:b/>
                <w:bCs/>
                <w:noProof/>
              </w:rPr>
              <w:t>2.3.  Previdência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_Toc147820435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5DCDD" w14:textId="1562D7FE" w:rsidR="00442B23" w:rsidRDefault="00442B2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47820436" w:history="1">
            <w:r w:rsidRPr="007C7B60">
              <w:rPr>
                <w:rStyle w:val="Hyperlink"/>
                <w:b/>
                <w:bC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Pr="007C7B60">
              <w:rPr>
                <w:rStyle w:val="Hyperlink"/>
                <w:b/>
                <w:bCs/>
                <w:noProof/>
              </w:rPr>
              <w:t>Proposta orçamentária - Apontamentos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_Toc147820436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6F4D6" w14:textId="27BCE5F5" w:rsidR="00442B23" w:rsidRDefault="00442B23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47820437" w:history="1">
            <w:r w:rsidRPr="007C7B60">
              <w:rPr>
                <w:rStyle w:val="Hyperlink"/>
                <w:b/>
                <w:bCs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Pr="007C7B60">
              <w:rPr>
                <w:rStyle w:val="Hyperlink"/>
                <w:b/>
                <w:bCs/>
                <w:noProof/>
              </w:rPr>
              <w:t>Dados globais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_Toc147820437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B749C" w14:textId="11E1D810" w:rsidR="00442B23" w:rsidRDefault="00442B23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47820438" w:history="1">
            <w:r w:rsidRPr="007C7B60">
              <w:rPr>
                <w:rStyle w:val="Hyperlink"/>
                <w:b/>
                <w:bCs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Pr="007C7B60">
              <w:rPr>
                <w:rStyle w:val="Hyperlink"/>
                <w:b/>
                <w:bCs/>
                <w:noProof/>
              </w:rPr>
              <w:t>Alguns comentários sobre a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_Toc147820438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5475C" w14:textId="2F290FE7" w:rsidR="00442B23" w:rsidRDefault="00442B23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47820439" w:history="1">
            <w:r w:rsidRPr="007C7B60">
              <w:rPr>
                <w:rStyle w:val="Hyperlink"/>
                <w:b/>
                <w:bCs/>
                <w:noProof/>
              </w:rPr>
              <w:t>Receitas previstas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_Toc147820439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F6139" w14:textId="047B39C3" w:rsidR="00442B23" w:rsidRDefault="00442B23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47820440" w:history="1">
            <w:r w:rsidRPr="007C7B60">
              <w:rPr>
                <w:rStyle w:val="Hyperlink"/>
                <w:b/>
                <w:bCs/>
                <w:noProof/>
              </w:rPr>
              <w:t>Despesas fixadas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_Toc147820440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1B405" w14:textId="0978883F" w:rsidR="00442B23" w:rsidRDefault="00442B23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47820441" w:history="1">
            <w:r w:rsidRPr="007C7B60">
              <w:rPr>
                <w:rStyle w:val="Hyperlink"/>
                <w:b/>
                <w:bCs/>
                <w:noProof/>
              </w:rPr>
              <w:t>Outras despesas correntes (ODC)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_Toc147820441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3D99D" w14:textId="7A0422AE" w:rsidR="00442B23" w:rsidRDefault="00442B23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47820442" w:history="1">
            <w:r w:rsidRPr="007C7B60">
              <w:rPr>
                <w:rStyle w:val="Hyperlink"/>
                <w:b/>
                <w:bCs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Pr="007C7B60">
              <w:rPr>
                <w:rStyle w:val="Hyperlink"/>
                <w:b/>
                <w:bCs/>
                <w:noProof/>
              </w:rPr>
              <w:t>Despesas</w:t>
            </w:r>
            <w:r w:rsidRPr="007C7B60">
              <w:rPr>
                <w:rStyle w:val="Hyperlink"/>
                <w:b/>
                <w:bCs/>
                <w:noProof/>
              </w:rPr>
              <w:t xml:space="preserve"> </w:t>
            </w:r>
            <w:r w:rsidRPr="007C7B60">
              <w:rPr>
                <w:rStyle w:val="Hyperlink"/>
                <w:b/>
                <w:bCs/>
                <w:noProof/>
              </w:rPr>
              <w:t>decorrentes de vinculações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_Toc147820442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045E8" w14:textId="022060B6" w:rsidR="00442B23" w:rsidRDefault="00442B23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47820443" w:history="1">
            <w:r w:rsidRPr="007C7B60">
              <w:rPr>
                <w:rStyle w:val="Hyperlink"/>
                <w:b/>
                <w:bCs/>
                <w:noProof/>
              </w:rPr>
              <w:t>3.3.1. Manutenção e Desenvolvimento do Ensino – MDE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_Toc147820443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6C871" w14:textId="0D03B447" w:rsidR="00442B23" w:rsidRDefault="00442B23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47820444" w:history="1">
            <w:r w:rsidRPr="007C7B60">
              <w:rPr>
                <w:rStyle w:val="Hyperlink"/>
                <w:b/>
                <w:bCs/>
                <w:noProof/>
              </w:rPr>
              <w:t>3.3.2.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Pr="007C7B60">
              <w:rPr>
                <w:rStyle w:val="Hyperlink"/>
                <w:b/>
                <w:bCs/>
                <w:noProof/>
              </w:rPr>
              <w:t>Aplicações em Saúde Pública - ASPS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_Toc147820444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49E38" w14:textId="39C5B58E" w:rsidR="00442B23" w:rsidRDefault="00442B2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47820445" w:history="1">
            <w:r w:rsidRPr="007C7B60">
              <w:rPr>
                <w:rStyle w:val="Hyperlink"/>
                <w:b/>
                <w:bCs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Pr="007C7B60">
              <w:rPr>
                <w:rStyle w:val="Hyperlink"/>
                <w:b/>
                <w:bCs/>
                <w:noProof/>
              </w:rPr>
              <w:t>Consideração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_Toc147820445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28D45" w14:textId="1B46BE43" w:rsidR="00D46BE8" w:rsidRDefault="00D46BE8">
          <w:r>
            <w:rPr>
              <w:b/>
              <w:bCs/>
            </w:rPr>
            <w:fldChar w:fldCharType="end"/>
          </w:r>
        </w:p>
      </w:sdtContent>
    </w:sdt>
    <w:p w14:paraId="776A8042" w14:textId="77777777" w:rsidR="00D46BE8" w:rsidRDefault="00D46BE8" w:rsidP="00DC242E">
      <w:pPr>
        <w:rPr>
          <w:b/>
          <w:bCs/>
        </w:rPr>
      </w:pPr>
    </w:p>
    <w:p w14:paraId="39F97A4A" w14:textId="77777777" w:rsidR="00D46BE8" w:rsidRDefault="00D46BE8" w:rsidP="00DC242E">
      <w:pPr>
        <w:rPr>
          <w:b/>
          <w:bCs/>
        </w:rPr>
      </w:pPr>
    </w:p>
    <w:p w14:paraId="3B95978F" w14:textId="77777777" w:rsidR="00D46BE8" w:rsidRDefault="00D46BE8" w:rsidP="00DC242E">
      <w:pPr>
        <w:rPr>
          <w:b/>
          <w:bCs/>
        </w:rPr>
      </w:pPr>
    </w:p>
    <w:p w14:paraId="6EA75619" w14:textId="77777777" w:rsidR="00D46BE8" w:rsidRDefault="00D46BE8" w:rsidP="00DC242E">
      <w:pPr>
        <w:rPr>
          <w:b/>
          <w:bCs/>
        </w:rPr>
      </w:pPr>
    </w:p>
    <w:p w14:paraId="7DB06194" w14:textId="77777777" w:rsidR="00D46BE8" w:rsidRDefault="00D46BE8" w:rsidP="00DC242E">
      <w:pPr>
        <w:rPr>
          <w:b/>
          <w:bCs/>
        </w:rPr>
      </w:pPr>
    </w:p>
    <w:p w14:paraId="77670AE7" w14:textId="77777777" w:rsidR="00D46BE8" w:rsidRDefault="00D46BE8" w:rsidP="00DC242E">
      <w:pPr>
        <w:rPr>
          <w:b/>
          <w:bCs/>
        </w:rPr>
      </w:pPr>
    </w:p>
    <w:p w14:paraId="5296D3FA" w14:textId="77777777" w:rsidR="00D46BE8" w:rsidRDefault="00D46BE8" w:rsidP="00DC242E">
      <w:pPr>
        <w:rPr>
          <w:b/>
          <w:bCs/>
        </w:rPr>
      </w:pPr>
    </w:p>
    <w:p w14:paraId="772F1A5D" w14:textId="38EF9671" w:rsidR="00DC242E" w:rsidRPr="00DC242E" w:rsidRDefault="00DC242E" w:rsidP="00D46BE8">
      <w:pPr>
        <w:pStyle w:val="PargrafodaLista"/>
        <w:numPr>
          <w:ilvl w:val="0"/>
          <w:numId w:val="2"/>
        </w:numPr>
        <w:outlineLvl w:val="0"/>
        <w:rPr>
          <w:b/>
          <w:bCs/>
        </w:rPr>
      </w:pPr>
      <w:bookmarkStart w:id="0" w:name="_Toc147820431"/>
      <w:r>
        <w:rPr>
          <w:b/>
          <w:bCs/>
        </w:rPr>
        <w:t>Comentários iniciais</w:t>
      </w:r>
      <w:bookmarkEnd w:id="0"/>
    </w:p>
    <w:p w14:paraId="1B86DEDA" w14:textId="77777777" w:rsidR="00AE4A80" w:rsidRDefault="00AE4A80" w:rsidP="00AE4A80">
      <w:pPr>
        <w:spacing w:line="360" w:lineRule="auto"/>
      </w:pPr>
    </w:p>
    <w:p w14:paraId="1B159EA3" w14:textId="719203B7" w:rsidR="00561332" w:rsidRDefault="00561332" w:rsidP="00C26488">
      <w:pPr>
        <w:spacing w:line="360" w:lineRule="auto"/>
        <w:jc w:val="both"/>
      </w:pPr>
      <w:r w:rsidRPr="00561332">
        <w:t>Este texto faz uma análise sintética da Proposta Orçamentária para 20</w:t>
      </w:r>
      <w:r w:rsidR="00AE4A80">
        <w:t>2</w:t>
      </w:r>
      <w:r w:rsidRPr="00561332">
        <w:t>4, começando com uma retrospectiva do período 2018-2022</w:t>
      </w:r>
      <w:r w:rsidR="00AE4A80">
        <w:t xml:space="preserve">. </w:t>
      </w:r>
      <w:r>
        <w:t>Nessa análise foram tomados com</w:t>
      </w:r>
      <w:r w:rsidR="00900E9F">
        <w:t>o</w:t>
      </w:r>
      <w:r>
        <w:t xml:space="preserve"> base a Proposta, especialmente a Mensagem nela </w:t>
      </w:r>
      <w:proofErr w:type="gramStart"/>
      <w:r>
        <w:t>contida</w:t>
      </w:r>
      <w:r w:rsidR="00872F00">
        <w:t xml:space="preserve">, </w:t>
      </w:r>
      <w:r>
        <w:t xml:space="preserve"> e</w:t>
      </w:r>
      <w:proofErr w:type="gramEnd"/>
      <w:r>
        <w:t xml:space="preserve"> os dados dos RREOs. Os dados retrospectivos foram atualizados para 2022 pelo </w:t>
      </w:r>
      <w:r w:rsidR="00AE4A80">
        <w:t>IPCA médio anual.</w:t>
      </w:r>
    </w:p>
    <w:p w14:paraId="0214701A" w14:textId="1047BB18" w:rsidR="00DC242E" w:rsidRPr="00561332" w:rsidRDefault="00D46BE8" w:rsidP="00C26488">
      <w:pPr>
        <w:spacing w:line="360" w:lineRule="auto"/>
        <w:jc w:val="both"/>
      </w:pPr>
      <w:r>
        <w:t>Este texto não contempla a análise por funções e por secretarias e órgãos</w:t>
      </w:r>
      <w:r w:rsidR="00900E9F">
        <w:t xml:space="preserve"> e está dividida em </w:t>
      </w:r>
      <w:r w:rsidR="00C26488">
        <w:t>três partes</w:t>
      </w:r>
      <w:r w:rsidR="00AE4A80">
        <w:t>:</w:t>
      </w:r>
      <w:r w:rsidR="005227A0">
        <w:t xml:space="preserve"> </w:t>
      </w:r>
      <w:r>
        <w:t xml:space="preserve">Síntese </w:t>
      </w:r>
      <w:r w:rsidR="00C26488">
        <w:t>do período</w:t>
      </w:r>
      <w:r w:rsidR="005227A0">
        <w:t xml:space="preserve"> 2018-2021, </w:t>
      </w:r>
      <w:r w:rsidR="00AE4A80">
        <w:t>Dados Globais</w:t>
      </w:r>
      <w:r w:rsidR="005227A0">
        <w:t xml:space="preserve">; </w:t>
      </w:r>
      <w:r w:rsidR="00900E9F">
        <w:t>e Proposta</w:t>
      </w:r>
      <w:r w:rsidR="005227A0">
        <w:t xml:space="preserve"> Orçamentária</w:t>
      </w:r>
      <w:r w:rsidR="00900E9F">
        <w:t xml:space="preserve"> – Apontamentos. </w:t>
      </w:r>
      <w:r w:rsidR="005227A0">
        <w:t xml:space="preserve"> </w:t>
      </w:r>
    </w:p>
    <w:p w14:paraId="2A13004C" w14:textId="77777777" w:rsidR="008137F7" w:rsidRDefault="008137F7" w:rsidP="00863D43">
      <w:pPr>
        <w:jc w:val="both"/>
        <w:rPr>
          <w:b/>
          <w:bCs/>
        </w:rPr>
      </w:pPr>
    </w:p>
    <w:p w14:paraId="742D83D6" w14:textId="2AE13234" w:rsidR="00DC242E" w:rsidRDefault="00517C8C" w:rsidP="00D46BE8">
      <w:pPr>
        <w:pStyle w:val="PargrafodaLista"/>
        <w:numPr>
          <w:ilvl w:val="0"/>
          <w:numId w:val="2"/>
        </w:numPr>
        <w:jc w:val="both"/>
        <w:outlineLvl w:val="0"/>
        <w:rPr>
          <w:b/>
          <w:bCs/>
        </w:rPr>
      </w:pPr>
      <w:bookmarkStart w:id="1" w:name="_Toc147820432"/>
      <w:r>
        <w:rPr>
          <w:b/>
          <w:bCs/>
        </w:rPr>
        <w:t>Uma s</w:t>
      </w:r>
      <w:r w:rsidR="00D46BE8">
        <w:rPr>
          <w:b/>
          <w:bCs/>
        </w:rPr>
        <w:t>íntese do</w:t>
      </w:r>
      <w:r w:rsidR="005227A0">
        <w:rPr>
          <w:b/>
          <w:bCs/>
        </w:rPr>
        <w:t xml:space="preserve"> p</w:t>
      </w:r>
      <w:r w:rsidR="005330EF">
        <w:rPr>
          <w:b/>
          <w:bCs/>
        </w:rPr>
        <w:t>eríodo 2018-2022</w:t>
      </w:r>
      <w:bookmarkEnd w:id="1"/>
    </w:p>
    <w:p w14:paraId="6927F1E5" w14:textId="3CAC4E41" w:rsidR="002F04C5" w:rsidRDefault="002F04C5" w:rsidP="002F04C5">
      <w:pPr>
        <w:spacing w:line="360" w:lineRule="auto"/>
        <w:contextualSpacing/>
        <w:jc w:val="both"/>
      </w:pPr>
      <w:r w:rsidRPr="002F04C5">
        <w:t>Inicialmente cabe destacar que, tendo em vista que a RCL estabelecida pela LRF é menor do que a receita corrente líquida efetiva, adotamos esta última, sob a sigla RCLe</w:t>
      </w:r>
      <w:r w:rsidR="00992FC7">
        <w:t xml:space="preserve">, que é mais representativa da realidade financeira. </w:t>
      </w:r>
      <w:r w:rsidRPr="002F04C5">
        <w:t xml:space="preserve"> </w:t>
      </w:r>
    </w:p>
    <w:p w14:paraId="4B5567CF" w14:textId="107B6B92" w:rsidR="00900E9F" w:rsidRDefault="002F04C5" w:rsidP="00900E9F">
      <w:pPr>
        <w:spacing w:line="360" w:lineRule="auto"/>
        <w:ind w:firstLine="567"/>
        <w:contextualSpacing/>
        <w:jc w:val="both"/>
      </w:pPr>
      <w:r>
        <w:t xml:space="preserve">A RCL-LRF </w:t>
      </w:r>
      <w:r w:rsidR="00992FC7">
        <w:t>serve às f</w:t>
      </w:r>
      <w:r>
        <w:t xml:space="preserve">inalidades </w:t>
      </w:r>
      <w:r w:rsidR="00992FC7">
        <w:t>para a qual foi concebida (Relatório de Gestão Fiscal)</w:t>
      </w:r>
      <w:r>
        <w:t xml:space="preserve">, mas distorce as informações </w:t>
      </w:r>
      <w:r w:rsidR="001C1B95">
        <w:t>em termos</w:t>
      </w:r>
      <w:r>
        <w:t xml:space="preserve"> gerenciais</w:t>
      </w:r>
      <w:r w:rsidR="001C1B95">
        <w:t>. P</w:t>
      </w:r>
      <w:r>
        <w:t xml:space="preserve">or isso adotamos a RCLe. A diferença entre ambas é, em média, superior a R$ 3. bilhões, em torno de 6%. Isso distorce </w:t>
      </w:r>
      <w:r w:rsidR="00992FC7">
        <w:t xml:space="preserve">bastante </w:t>
      </w:r>
      <w:r>
        <w:t>as comparações dos comprometimentos</w:t>
      </w:r>
      <w:r w:rsidR="001C1B95">
        <w:t xml:space="preserve"> calculados</w:t>
      </w:r>
      <w:r>
        <w:t>.</w:t>
      </w:r>
      <w:r w:rsidR="00900E9F" w:rsidRPr="00900E9F">
        <w:t xml:space="preserve"> </w:t>
      </w:r>
      <w:r w:rsidR="00900E9F">
        <w:t xml:space="preserve">Entretanto, seus incrementos anuais são semelhantes. </w:t>
      </w:r>
    </w:p>
    <w:p w14:paraId="5960CEF2" w14:textId="267C5701" w:rsidR="002F04C5" w:rsidRPr="005330EF" w:rsidRDefault="002F04C5" w:rsidP="00AD756F">
      <w:pPr>
        <w:spacing w:line="360" w:lineRule="auto"/>
        <w:ind w:firstLine="567"/>
        <w:contextualSpacing/>
        <w:jc w:val="both"/>
        <w:rPr>
          <w:b/>
          <w:bCs/>
        </w:rPr>
      </w:pPr>
      <w:r>
        <w:t xml:space="preserve"> </w:t>
      </w:r>
      <w:r w:rsidR="001C1B95">
        <w:t xml:space="preserve">A Tabela </w:t>
      </w:r>
      <w:r w:rsidR="00E92F62">
        <w:t>2</w:t>
      </w:r>
      <w:r w:rsidR="001C1B95">
        <w:t>.1 apresenta a comparação ente ambas, sendo o ano de 2021 uma exceção</w:t>
      </w:r>
      <w:r w:rsidR="00992FC7">
        <w:t>, que t</w:t>
      </w:r>
      <w:r w:rsidR="001C1B95">
        <w:t xml:space="preserve">alvez decorra das operações da CEEE-D. </w:t>
      </w:r>
      <w:r w:rsidR="00992FC7">
        <w:t xml:space="preserve"> </w:t>
      </w: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7"/>
        <w:gridCol w:w="1106"/>
        <w:gridCol w:w="1061"/>
        <w:gridCol w:w="929"/>
        <w:gridCol w:w="929"/>
        <w:gridCol w:w="1106"/>
      </w:tblGrid>
      <w:tr w:rsidR="005330EF" w:rsidRPr="005330EF" w14:paraId="551989D0" w14:textId="77777777" w:rsidTr="005330EF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CF04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7524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B1C1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247D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8E0D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5CDF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5330EF" w:rsidRPr="005330EF" w14:paraId="6B5F176D" w14:textId="77777777" w:rsidTr="005330EF">
        <w:trPr>
          <w:trHeight w:val="300"/>
        </w:trPr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03F" w14:textId="40D8A3BF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Tabela </w:t>
            </w:r>
            <w:r w:rsidR="00E92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.1 Critérios de cálculo da receita corrente líquida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D900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C637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5330EF" w:rsidRPr="005330EF" w14:paraId="36517578" w14:textId="77777777" w:rsidTr="005330EF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9C92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5D22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E839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AABF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4BA2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756C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5330EF" w:rsidRPr="005330EF" w14:paraId="78274AD9" w14:textId="77777777" w:rsidTr="005330EF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145023" w14:textId="77777777" w:rsidR="005330EF" w:rsidRPr="005330EF" w:rsidRDefault="005330EF" w:rsidP="00533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DESCRIÇÃO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533CDD" w14:textId="77777777" w:rsidR="005330EF" w:rsidRPr="005330EF" w:rsidRDefault="005330EF" w:rsidP="00533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529E5C" w14:textId="77777777" w:rsidR="005330EF" w:rsidRPr="005330EF" w:rsidRDefault="005330EF" w:rsidP="00533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92127A" w14:textId="77777777" w:rsidR="005330EF" w:rsidRPr="005330EF" w:rsidRDefault="005330EF" w:rsidP="00533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DBB11B" w14:textId="77777777" w:rsidR="005330EF" w:rsidRPr="005330EF" w:rsidRDefault="005330EF" w:rsidP="00533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262A07" w14:textId="77777777" w:rsidR="005330EF" w:rsidRPr="005330EF" w:rsidRDefault="005330EF" w:rsidP="00533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2022</w:t>
            </w:r>
          </w:p>
        </w:tc>
      </w:tr>
      <w:tr w:rsidR="005330EF" w:rsidRPr="005330EF" w14:paraId="1E93F9E3" w14:textId="77777777" w:rsidTr="005330EF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4DC9" w14:textId="0721F956" w:rsidR="005330EF" w:rsidRPr="005330EF" w:rsidRDefault="002F04C5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RCL efetiva</w:t>
            </w:r>
            <w:r w:rsidR="005330EF"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(1)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E1AD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40.468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7288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43.667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863A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46.021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2919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53.915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8F9C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54.098 </w:t>
            </w:r>
          </w:p>
        </w:tc>
      </w:tr>
      <w:tr w:rsidR="005330EF" w:rsidRPr="005330EF" w14:paraId="14F434B6" w14:textId="77777777" w:rsidTr="005330EF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6455F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RCL /LRF (2)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01810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37.773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813BF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39.779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A82FE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42.074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026CF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53.790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DB98E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50.634 </w:t>
            </w:r>
          </w:p>
        </w:tc>
      </w:tr>
      <w:tr w:rsidR="005330EF" w:rsidRPr="005330EF" w14:paraId="3C861786" w14:textId="77777777" w:rsidTr="005330EF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DF77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Diferença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BEA8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2.695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188F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3.888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496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3.947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B1C7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125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FD7B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3.464 </w:t>
            </w:r>
          </w:p>
        </w:tc>
      </w:tr>
      <w:tr w:rsidR="005330EF" w:rsidRPr="005330EF" w14:paraId="1EC9B59A" w14:textId="77777777" w:rsidTr="005330EF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14039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Diferença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D507" w14:textId="77777777" w:rsidR="005330EF" w:rsidRPr="005330EF" w:rsidRDefault="005330EF" w:rsidP="00533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2D01" w14:textId="77777777" w:rsidR="005330EF" w:rsidRPr="005330EF" w:rsidRDefault="005330EF" w:rsidP="00533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8,9%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179CD" w14:textId="77777777" w:rsidR="005330EF" w:rsidRPr="005330EF" w:rsidRDefault="005330EF" w:rsidP="00533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8,6%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A5974" w14:textId="77777777" w:rsidR="005330EF" w:rsidRPr="005330EF" w:rsidRDefault="005330EF" w:rsidP="00533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6A8E2" w14:textId="77777777" w:rsidR="005330EF" w:rsidRPr="005330EF" w:rsidRDefault="005330EF" w:rsidP="00533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6,4%</w:t>
            </w:r>
          </w:p>
        </w:tc>
      </w:tr>
      <w:tr w:rsidR="005330EF" w:rsidRPr="005330EF" w14:paraId="610CD565" w14:textId="77777777" w:rsidTr="005330EF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A412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FONTE: Mensagem 2024 e RREOs.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192F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0753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E0AE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51C6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5330EF" w:rsidRPr="005330EF" w14:paraId="1E69FBE3" w14:textId="77777777" w:rsidTr="005330EF">
        <w:trPr>
          <w:trHeight w:val="300"/>
        </w:trPr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73EF" w14:textId="0ABBF2C5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(1) Receitas correntes</w:t>
            </w:r>
            <w:r w:rsidR="00872F0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deduzidas</w:t>
            </w: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das T</w:t>
            </w:r>
            <w:r w:rsidR="00872F0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</w:t>
            </w: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LM e ao Fundeb.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7569" w14:textId="7777777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11F7" w14:textId="77777777" w:rsidR="005330EF" w:rsidRPr="005330EF" w:rsidRDefault="005330EF" w:rsidP="00533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5330EF" w:rsidRPr="005330EF" w14:paraId="4FE990F0" w14:textId="77777777" w:rsidTr="005330EF">
        <w:trPr>
          <w:trHeight w:val="300"/>
        </w:trPr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EE0F" w14:textId="3FF712A7" w:rsidR="005330EF" w:rsidRPr="005330EF" w:rsidRDefault="005330EF" w:rsidP="00533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(2) </w:t>
            </w:r>
            <w:r w:rsidR="001C1B95"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RCL da</w:t>
            </w: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LRF, que não é exatamente a receita </w:t>
            </w:r>
            <w:r w:rsidR="001C1B95"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corrente </w:t>
            </w:r>
            <w:r w:rsidR="00872F0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líquida </w:t>
            </w:r>
            <w:r w:rsidR="001C1B95"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do</w:t>
            </w:r>
            <w:r w:rsidRPr="005330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Estado.</w:t>
            </w:r>
          </w:p>
        </w:tc>
      </w:tr>
    </w:tbl>
    <w:p w14:paraId="6B710482" w14:textId="1A4EBE71" w:rsidR="005330EF" w:rsidRDefault="00E92F62" w:rsidP="00D46BE8">
      <w:pPr>
        <w:pStyle w:val="Ttulo2"/>
        <w:rPr>
          <w:b/>
          <w:bCs/>
          <w:color w:val="auto"/>
        </w:rPr>
      </w:pPr>
      <w:bookmarkStart w:id="2" w:name="_Toc147820433"/>
      <w:r w:rsidRPr="00D46BE8">
        <w:rPr>
          <w:b/>
          <w:bCs/>
          <w:color w:val="auto"/>
        </w:rPr>
        <w:t>2</w:t>
      </w:r>
      <w:r w:rsidR="00DC63F4" w:rsidRPr="00D46BE8">
        <w:rPr>
          <w:b/>
          <w:bCs/>
          <w:color w:val="auto"/>
        </w:rPr>
        <w:t xml:space="preserve">.1. </w:t>
      </w:r>
      <w:r w:rsidR="001C1B95" w:rsidRPr="00D46BE8">
        <w:rPr>
          <w:b/>
          <w:bCs/>
          <w:color w:val="auto"/>
        </w:rPr>
        <w:t>Receitas 2018-2022</w:t>
      </w:r>
      <w:bookmarkEnd w:id="2"/>
    </w:p>
    <w:p w14:paraId="3E1B059E" w14:textId="77777777" w:rsidR="00D46BE8" w:rsidRPr="00D46BE8" w:rsidRDefault="00D46BE8" w:rsidP="00D46BE8"/>
    <w:p w14:paraId="733E8B35" w14:textId="4496FE0B" w:rsidR="001C1B95" w:rsidRDefault="00325EC5" w:rsidP="00325EC5">
      <w:pPr>
        <w:spacing w:line="360" w:lineRule="auto"/>
        <w:contextualSpacing/>
        <w:jc w:val="both"/>
      </w:pPr>
      <w:r>
        <w:lastRenderedPageBreak/>
        <w:t xml:space="preserve">No período 2018-2022, as receitas correntes cresceram 5,5%, sendo 5% das receitas próprias e 7,4% das </w:t>
      </w:r>
      <w:r w:rsidR="00203BA9">
        <w:t xml:space="preserve">de </w:t>
      </w:r>
      <w:r>
        <w:t xml:space="preserve">transferências. E as receitas de capital aumentaram 45,3%. </w:t>
      </w:r>
    </w:p>
    <w:p w14:paraId="3C5939F7" w14:textId="4A1018CF" w:rsidR="003D18D8" w:rsidRDefault="007D573E" w:rsidP="00363492">
      <w:pPr>
        <w:spacing w:line="360" w:lineRule="auto"/>
        <w:ind w:firstLine="567"/>
        <w:contextualSpacing/>
        <w:jc w:val="both"/>
        <w:rPr>
          <w:b/>
          <w:bCs/>
        </w:rPr>
      </w:pPr>
      <w:r>
        <w:t>Quand</w:t>
      </w:r>
      <w:r w:rsidR="00325EC5">
        <w:t xml:space="preserve">o comparadas como o ano imediatamente anterior, as receitas correntes </w:t>
      </w:r>
      <w:r w:rsidR="00325EC5" w:rsidRPr="00203BA9">
        <w:rPr>
          <w:b/>
          <w:bCs/>
        </w:rPr>
        <w:t>decresceram 8,2</w:t>
      </w:r>
      <w:r w:rsidR="00325EC5">
        <w:t xml:space="preserve">. As receitas próprias foram as que mais </w:t>
      </w:r>
      <w:r w:rsidR="00325EC5" w:rsidRPr="00203BA9">
        <w:rPr>
          <w:b/>
          <w:bCs/>
        </w:rPr>
        <w:t xml:space="preserve">caíram, 9,2%. </w:t>
      </w:r>
      <w:r w:rsidR="00325EC5">
        <w:t xml:space="preserve">Já as transferências </w:t>
      </w:r>
      <w:r w:rsidR="00325EC5" w:rsidRPr="00203BA9">
        <w:rPr>
          <w:b/>
          <w:bCs/>
        </w:rPr>
        <w:t>caíram 4%.</w:t>
      </w:r>
    </w:p>
    <w:p w14:paraId="43A8436F" w14:textId="390EB336" w:rsidR="00AD756F" w:rsidRDefault="00325EC5" w:rsidP="00363492">
      <w:pPr>
        <w:spacing w:line="360" w:lineRule="auto"/>
        <w:ind w:firstLine="567"/>
        <w:contextualSpacing/>
        <w:jc w:val="both"/>
      </w:pPr>
      <w:r>
        <w:t>A queda das receitas</w:t>
      </w:r>
      <w:r w:rsidR="003D18D8">
        <w:t xml:space="preserve"> correntes</w:t>
      </w:r>
      <w:r>
        <w:t xml:space="preserve"> próprias deve-se principalmente a três fatores: i) base </w:t>
      </w:r>
      <w:r w:rsidR="007D573E">
        <w:t xml:space="preserve">de comparação </w:t>
      </w:r>
      <w:r>
        <w:t xml:space="preserve">mais alta em 2021, devido </w:t>
      </w:r>
      <w:r w:rsidR="007D573E">
        <w:t>à</w:t>
      </w:r>
      <w:r>
        <w:t xml:space="preserve">s operações da CEEE-D; </w:t>
      </w:r>
      <w:proofErr w:type="spellStart"/>
      <w:r>
        <w:t>ii</w:t>
      </w:r>
      <w:proofErr w:type="spellEnd"/>
      <w:r>
        <w:t>) grande seca</w:t>
      </w:r>
      <w:r w:rsidR="00DC63F4">
        <w:t>,</w:t>
      </w:r>
      <w:r>
        <w:t xml:space="preserve"> que assolou nosso Estado, gerando uma queda de 45,6% na produção agropecuária; </w:t>
      </w:r>
      <w:proofErr w:type="spellStart"/>
      <w:r>
        <w:t>iii</w:t>
      </w:r>
      <w:proofErr w:type="spellEnd"/>
      <w:r>
        <w:t xml:space="preserve">) redução das alíquotas de </w:t>
      </w:r>
      <w:r w:rsidR="00FC3278">
        <w:t>ICMS, decorrente</w:t>
      </w:r>
      <w:r>
        <w:t xml:space="preserve"> das leis complementares federais</w:t>
      </w:r>
      <w:r w:rsidR="00363492">
        <w:t xml:space="preserve"> n° 192/2022 e 194/2022. Esta última reduziu as alíquotas dos combustíveis, energia e telefonia, de 25% para 17% (alíquota geral). Já a LC 192/2022 criou uma alíquota única AD-REM para os combustíveis (Tabela </w:t>
      </w:r>
      <w:r w:rsidR="00E92F62">
        <w:t>2</w:t>
      </w:r>
      <w:r w:rsidR="00363492">
        <w:t>.1).</w:t>
      </w:r>
    </w:p>
    <w:p w14:paraId="4EE54FB6" w14:textId="1DB737A3" w:rsidR="00325EC5" w:rsidRDefault="00AD756F" w:rsidP="00363492">
      <w:pPr>
        <w:spacing w:line="360" w:lineRule="auto"/>
        <w:ind w:firstLine="567"/>
        <w:contextualSpacing/>
        <w:jc w:val="both"/>
        <w:rPr>
          <w:b/>
          <w:bCs/>
        </w:rPr>
      </w:pPr>
      <w:r>
        <w:t xml:space="preserve">O ICMS, o maior item de arrecadação, </w:t>
      </w:r>
      <w:r w:rsidRPr="00203BA9">
        <w:rPr>
          <w:b/>
          <w:bCs/>
        </w:rPr>
        <w:t>caiu 4,8% nominais ou 12,8% reais em 2022</w:t>
      </w:r>
      <w:r w:rsidR="00BB6938" w:rsidRPr="00203BA9">
        <w:rPr>
          <w:b/>
          <w:bCs/>
        </w:rPr>
        <w:t xml:space="preserve"> (Tabela</w:t>
      </w:r>
      <w:r w:rsidR="00E92F62">
        <w:rPr>
          <w:b/>
          <w:bCs/>
        </w:rPr>
        <w:t xml:space="preserve"> 2</w:t>
      </w:r>
      <w:r w:rsidR="00BB6938" w:rsidRPr="00203BA9">
        <w:rPr>
          <w:b/>
          <w:bCs/>
        </w:rPr>
        <w:t>.2)</w:t>
      </w:r>
      <w:r w:rsidRPr="00203BA9">
        <w:rPr>
          <w:b/>
          <w:bCs/>
        </w:rPr>
        <w:t xml:space="preserve">. </w:t>
      </w:r>
      <w:r w:rsidR="00363492" w:rsidRPr="00203BA9">
        <w:rPr>
          <w:b/>
          <w:bCs/>
        </w:rPr>
        <w:t xml:space="preserve"> </w:t>
      </w:r>
    </w:p>
    <w:p w14:paraId="1A4418CD" w14:textId="52F4A1AA" w:rsidR="003D18D8" w:rsidRDefault="003D18D8" w:rsidP="003D18D8">
      <w:pPr>
        <w:spacing w:line="360" w:lineRule="auto"/>
        <w:ind w:firstLine="567"/>
        <w:contextualSpacing/>
        <w:jc w:val="both"/>
      </w:pPr>
      <w:r>
        <w:t xml:space="preserve">As </w:t>
      </w:r>
      <w:r w:rsidRPr="003341C5">
        <w:rPr>
          <w:b/>
          <w:bCs/>
        </w:rPr>
        <w:t xml:space="preserve">receitas de capital </w:t>
      </w:r>
      <w:r w:rsidR="003341C5" w:rsidRPr="003341C5">
        <w:rPr>
          <w:b/>
          <w:bCs/>
        </w:rPr>
        <w:t>cresceram 45,3%</w:t>
      </w:r>
      <w:r w:rsidR="003341C5">
        <w:t xml:space="preserve"> no período. </w:t>
      </w:r>
      <w:r>
        <w:t xml:space="preserve"> As </w:t>
      </w:r>
      <w:r w:rsidRPr="003341C5">
        <w:rPr>
          <w:b/>
          <w:bCs/>
        </w:rPr>
        <w:t>alienações de bens</w:t>
      </w:r>
      <w:r w:rsidR="003341C5">
        <w:rPr>
          <w:b/>
          <w:bCs/>
        </w:rPr>
        <w:t xml:space="preserve"> </w:t>
      </w:r>
      <w:r w:rsidR="003341C5" w:rsidRPr="003341C5">
        <w:rPr>
          <w:b/>
          <w:bCs/>
        </w:rPr>
        <w:t>cresceram 89</w:t>
      </w:r>
      <w:r w:rsidRPr="003341C5">
        <w:rPr>
          <w:b/>
          <w:bCs/>
        </w:rPr>
        <w:t>,5%</w:t>
      </w:r>
      <w:r>
        <w:t xml:space="preserve"> no período 2018-2022</w:t>
      </w:r>
      <w:r w:rsidR="003341C5">
        <w:t xml:space="preserve">. A queda de </w:t>
      </w:r>
      <w:r w:rsidRPr="00203BA9">
        <w:rPr>
          <w:b/>
          <w:bCs/>
        </w:rPr>
        <w:t>31,9</w:t>
      </w:r>
      <w:r>
        <w:t xml:space="preserve">% em 2022 </w:t>
      </w:r>
      <w:r w:rsidR="003341C5">
        <w:t>deve</w:t>
      </w:r>
      <w:r w:rsidR="00DC63F4">
        <w:t>u</w:t>
      </w:r>
      <w:r w:rsidR="003341C5">
        <w:t>-</w:t>
      </w:r>
      <w:proofErr w:type="gramStart"/>
      <w:r w:rsidR="003341C5">
        <w:t>se  à</w:t>
      </w:r>
      <w:proofErr w:type="gramEnd"/>
      <w:r w:rsidR="003341C5">
        <w:t xml:space="preserve"> alta realização do ano anterior. </w:t>
      </w:r>
      <w:r w:rsidR="00DC63F4">
        <w:t xml:space="preserve"> Todos os dados referidos neste item estão em valores constantes. </w:t>
      </w:r>
    </w:p>
    <w:p w14:paraId="535B78B2" w14:textId="77777777" w:rsidR="00D46BE8" w:rsidRPr="00325EC5" w:rsidRDefault="00D46BE8" w:rsidP="00363492">
      <w:pPr>
        <w:spacing w:line="360" w:lineRule="auto"/>
        <w:ind w:firstLine="567"/>
        <w:contextualSpacing/>
        <w:jc w:val="both"/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933"/>
        <w:gridCol w:w="1023"/>
        <w:gridCol w:w="832"/>
        <w:gridCol w:w="900"/>
        <w:gridCol w:w="933"/>
        <w:gridCol w:w="1040"/>
        <w:gridCol w:w="1040"/>
      </w:tblGrid>
      <w:tr w:rsidR="00DC242E" w:rsidRPr="00DC242E" w14:paraId="11B35FD6" w14:textId="77777777" w:rsidTr="00BB6938">
        <w:trPr>
          <w:trHeight w:val="300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ACF1" w14:textId="77777777" w:rsidR="00BB6938" w:rsidRDefault="00BB6938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568043BC" w14:textId="1FE1188C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Tabela </w:t>
            </w:r>
            <w:r w:rsidR="00E92F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  <w:r w:rsidR="005330EF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 Receitas realizadas líquidas das transferências aos municípios e ao Fundeb, 2018-2022</w:t>
            </w:r>
          </w:p>
        </w:tc>
      </w:tr>
      <w:tr w:rsidR="00DC242E" w:rsidRPr="00DC242E" w14:paraId="6218EF82" w14:textId="77777777" w:rsidTr="00BB6938">
        <w:trPr>
          <w:trHeight w:val="300"/>
        </w:trPr>
        <w:tc>
          <w:tcPr>
            <w:tcW w:w="4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54BC" w14:textId="66A4B33C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Em R$ milhões constantes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 2022</w:t>
            </w: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pelo IPCA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686B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AC96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B68F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4B0A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963A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C242E" w:rsidRPr="00DC242E" w14:paraId="5066C79D" w14:textId="77777777" w:rsidTr="00BB6938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028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57E2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3B90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E193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A236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B57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7DC2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5DB5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C242E" w:rsidRPr="00DC242E" w14:paraId="7CE6FCB0" w14:textId="77777777" w:rsidTr="00BB6938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04AA3B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RECEITAS CORRENTES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0344E4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76C628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9CB284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793E75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5DD36F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854DB8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2022/2018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038A8D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2022/2021</w:t>
            </w:r>
          </w:p>
        </w:tc>
      </w:tr>
      <w:tr w:rsidR="00DC242E" w:rsidRPr="00DC242E" w14:paraId="2DD8FF58" w14:textId="77777777" w:rsidTr="00BB6938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F85A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RECEITAS CORRENTES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7DD1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51.278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B50E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53.341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DD48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54.466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1574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58.918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FE8C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54.098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1820EA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5,5%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B3ABF7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-8,2%</w:t>
            </w:r>
          </w:p>
        </w:tc>
      </w:tr>
      <w:tr w:rsidR="00DC242E" w:rsidRPr="00DC242E" w14:paraId="55BC65DD" w14:textId="77777777" w:rsidTr="00BB6938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99EC" w14:textId="77777777" w:rsidR="00DC242E" w:rsidRPr="00DC242E" w:rsidRDefault="00DC242E" w:rsidP="00DC242E">
            <w:pPr>
              <w:spacing w:after="0" w:line="240" w:lineRule="auto"/>
              <w:ind w:firstLineChars="100" w:firstLine="18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Receita próprias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F376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41.164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D21B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43.320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2049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41.312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7F7D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47.609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B89F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43.236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33A047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5,0%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988893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-9,2%</w:t>
            </w:r>
          </w:p>
        </w:tc>
      </w:tr>
      <w:tr w:rsidR="00DC242E" w:rsidRPr="00DC242E" w14:paraId="530FCB39" w14:textId="77777777" w:rsidTr="00BB6938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AFDE" w14:textId="32E11A20" w:rsidR="00DC242E" w:rsidRPr="00DC242E" w:rsidRDefault="00DC242E" w:rsidP="00DC242E">
            <w:pPr>
              <w:spacing w:after="0" w:line="240" w:lineRule="auto"/>
              <w:ind w:firstLineChars="100" w:firstLine="18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Transf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erências</w:t>
            </w: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 correntes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B6A9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10.114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3129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10.021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BB79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13.155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F909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11.309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8D35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10.862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751A47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7,4%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7DB82F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-4,0%</w:t>
            </w:r>
          </w:p>
        </w:tc>
      </w:tr>
      <w:tr w:rsidR="00DC242E" w:rsidRPr="00DC242E" w14:paraId="05EA54B9" w14:textId="77777777" w:rsidTr="00BB6938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35FB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RECEITAS DE CAPITAL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A3B7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1.716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92E6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1.026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5F4A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1.249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7CA4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3.233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627D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2.493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85371D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45,3%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A04E58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-22,9%</w:t>
            </w:r>
          </w:p>
        </w:tc>
      </w:tr>
      <w:tr w:rsidR="00DC242E" w:rsidRPr="00DC242E" w14:paraId="0F84CE64" w14:textId="77777777" w:rsidTr="00BB6938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ED04" w14:textId="77777777" w:rsidR="00DC242E" w:rsidRPr="00DC242E" w:rsidRDefault="00DC242E" w:rsidP="00DC242E">
            <w:pPr>
              <w:spacing w:after="0" w:line="240" w:lineRule="auto"/>
              <w:ind w:firstLineChars="100" w:firstLine="18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Operações de crédito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6195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342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74A2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234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4D15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FD7D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46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7C9A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96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2AF1C4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-72,1%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89D388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109,0%</w:t>
            </w:r>
          </w:p>
        </w:tc>
      </w:tr>
      <w:tr w:rsidR="00DC242E" w:rsidRPr="00DC242E" w14:paraId="7588FA39" w14:textId="77777777" w:rsidTr="00BB6938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9ED4" w14:textId="77777777" w:rsidR="00DC242E" w:rsidRPr="00DC242E" w:rsidRDefault="00DC242E" w:rsidP="00DC242E">
            <w:pPr>
              <w:spacing w:after="0" w:line="240" w:lineRule="auto"/>
              <w:ind w:firstLineChars="100" w:firstLine="18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Alienação de Bens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1651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1.080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D918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696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6C5A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957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76AA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3.003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138C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2.046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9E01C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89,5%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2794EC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-31,9%</w:t>
            </w:r>
          </w:p>
        </w:tc>
      </w:tr>
      <w:tr w:rsidR="00DC242E" w:rsidRPr="00DC242E" w14:paraId="08C37CCA" w14:textId="77777777" w:rsidTr="00BB6938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4A67" w14:textId="77777777" w:rsidR="00DC242E" w:rsidRPr="00DC242E" w:rsidRDefault="00DC242E" w:rsidP="00DC242E">
            <w:pPr>
              <w:spacing w:after="0" w:line="240" w:lineRule="auto"/>
              <w:ind w:firstLineChars="100" w:firstLine="18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Demais receitas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2843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294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59D3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  95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B211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263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1BC6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184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86D3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351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3504EC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19,7%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0ABB61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91,0%</w:t>
            </w:r>
          </w:p>
        </w:tc>
      </w:tr>
      <w:tr w:rsidR="00DC242E" w:rsidRPr="00DC242E" w14:paraId="788B9C41" w14:textId="77777777" w:rsidTr="00BB6938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7114C" w14:textId="77777777" w:rsidR="00DC242E" w:rsidRPr="00DC242E" w:rsidRDefault="00DC242E" w:rsidP="00DC242E">
            <w:pPr>
              <w:spacing w:after="0" w:line="240" w:lineRule="auto"/>
              <w:ind w:firstLineChars="100" w:firstLine="18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TOTAL RECEITAS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F6821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52.994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A7375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54.367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C358E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55.715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F71B7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62.151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A26E4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56.591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D2AF28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6,8%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965019" w14:textId="77777777" w:rsidR="00DC242E" w:rsidRPr="00DC242E" w:rsidRDefault="00DC242E" w:rsidP="00DC242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-8,9%</w:t>
            </w:r>
          </w:p>
        </w:tc>
      </w:tr>
      <w:tr w:rsidR="00DC242E" w:rsidRPr="00DC242E" w14:paraId="0994C1CB" w14:textId="77777777" w:rsidTr="00BB6938">
        <w:trPr>
          <w:trHeight w:val="30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6D44" w14:textId="77777777" w:rsidR="00DC242E" w:rsidRPr="00DC242E" w:rsidRDefault="00DC242E" w:rsidP="00DC242E">
            <w:pPr>
              <w:spacing w:after="0" w:line="240" w:lineRule="auto"/>
              <w:ind w:firstLineChars="100" w:firstLine="18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C242E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FONTE: RREOS.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82B9" w14:textId="77777777" w:rsidR="00DC242E" w:rsidRPr="00DC242E" w:rsidRDefault="00DC242E" w:rsidP="00DC242E">
            <w:pPr>
              <w:spacing w:after="0" w:line="240" w:lineRule="auto"/>
              <w:ind w:firstLineChars="100" w:firstLine="18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D5CF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67E6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CC80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44B6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B77C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E0D3" w14:textId="77777777" w:rsidR="00DC242E" w:rsidRPr="00DC242E" w:rsidRDefault="00DC242E" w:rsidP="00DC242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73985669" w14:textId="77777777" w:rsidR="008137F7" w:rsidRDefault="008137F7" w:rsidP="00863D43">
      <w:pPr>
        <w:jc w:val="both"/>
        <w:rPr>
          <w:b/>
          <w:bCs/>
        </w:rPr>
      </w:pPr>
    </w:p>
    <w:p w14:paraId="63FA366A" w14:textId="170D86DA" w:rsidR="00162541" w:rsidRDefault="00E92F62" w:rsidP="00D46BE8">
      <w:pPr>
        <w:pStyle w:val="Ttulo2"/>
        <w:rPr>
          <w:b/>
          <w:bCs/>
          <w:color w:val="auto"/>
        </w:rPr>
      </w:pPr>
      <w:bookmarkStart w:id="3" w:name="_Toc147820434"/>
      <w:r w:rsidRPr="00D46BE8">
        <w:rPr>
          <w:b/>
          <w:bCs/>
          <w:color w:val="auto"/>
        </w:rPr>
        <w:t>2</w:t>
      </w:r>
      <w:r w:rsidR="00DC63F4" w:rsidRPr="00D46BE8">
        <w:rPr>
          <w:b/>
          <w:bCs/>
          <w:color w:val="auto"/>
        </w:rPr>
        <w:t xml:space="preserve">.2. </w:t>
      </w:r>
      <w:r w:rsidR="00BB6938" w:rsidRPr="00D46BE8">
        <w:rPr>
          <w:b/>
          <w:bCs/>
          <w:color w:val="auto"/>
        </w:rPr>
        <w:t>Despesas 2018-2022</w:t>
      </w:r>
      <w:bookmarkEnd w:id="3"/>
    </w:p>
    <w:p w14:paraId="2F551BE7" w14:textId="77777777" w:rsidR="00D46BE8" w:rsidRPr="00D46BE8" w:rsidRDefault="00D46BE8" w:rsidP="00D46BE8"/>
    <w:p w14:paraId="0974E72A" w14:textId="529BDE5F" w:rsidR="00203BA9" w:rsidRDefault="00203BA9" w:rsidP="00203BA9">
      <w:pPr>
        <w:spacing w:line="360" w:lineRule="auto"/>
        <w:contextualSpacing/>
        <w:jc w:val="both"/>
      </w:pPr>
      <w:r w:rsidRPr="00203BA9">
        <w:lastRenderedPageBreak/>
        <w:t xml:space="preserve">As despesas com pessoal, que haviam caído 10,6% no período 2018-2022, baixaram a queda para -2,7 no último ano. </w:t>
      </w:r>
      <w:r w:rsidR="003D18D8">
        <w:t>A</w:t>
      </w:r>
      <w:r>
        <w:t xml:space="preserve"> relação </w:t>
      </w:r>
      <w:r w:rsidR="003D18D8">
        <w:t>com a</w:t>
      </w:r>
      <w:r>
        <w:t xml:space="preserve"> RCLe subi</w:t>
      </w:r>
      <w:r w:rsidR="003D18D8">
        <w:t>u</w:t>
      </w:r>
      <w:r>
        <w:t xml:space="preserve"> de 52,8% para 61,2%,</w:t>
      </w:r>
      <w:r w:rsidR="00DC63F4">
        <w:t xml:space="preserve"> não só</w:t>
      </w:r>
      <w:r>
        <w:t xml:space="preserve"> </w:t>
      </w:r>
      <w:r w:rsidR="003D18D8">
        <w:t>porque</w:t>
      </w:r>
      <w:r>
        <w:t xml:space="preserve"> caíram as despesas, mas, </w:t>
      </w:r>
      <w:r w:rsidR="008A76A1">
        <w:t>principalmente, pela</w:t>
      </w:r>
      <w:r w:rsidR="003D18D8">
        <w:t xml:space="preserve"> queda</w:t>
      </w:r>
      <w:r w:rsidR="00C90393">
        <w:t xml:space="preserve"> do denominador, a</w:t>
      </w:r>
      <w:r w:rsidR="003D18D8">
        <w:t xml:space="preserve"> receita em 2022, pelas razões expostas no item anterior. </w:t>
      </w:r>
    </w:p>
    <w:p w14:paraId="13B1ADD3" w14:textId="3CE5565D" w:rsidR="00203BA9" w:rsidRDefault="00203BA9" w:rsidP="00DC63F4">
      <w:pPr>
        <w:spacing w:line="360" w:lineRule="auto"/>
        <w:ind w:firstLine="567"/>
        <w:contextualSpacing/>
        <w:jc w:val="both"/>
      </w:pPr>
      <w:r>
        <w:t xml:space="preserve">As </w:t>
      </w:r>
      <w:r w:rsidRPr="002A3DA5">
        <w:rPr>
          <w:b/>
          <w:bCs/>
        </w:rPr>
        <w:t>outras despesas correntes</w:t>
      </w:r>
      <w:r w:rsidR="002A3DA5">
        <w:rPr>
          <w:b/>
          <w:bCs/>
        </w:rPr>
        <w:t xml:space="preserve"> (ODC)</w:t>
      </w:r>
      <w:r w:rsidRPr="002A3DA5">
        <w:rPr>
          <w:b/>
          <w:bCs/>
        </w:rPr>
        <w:t xml:space="preserve"> </w:t>
      </w:r>
      <w:r w:rsidRPr="00DC63F4">
        <w:rPr>
          <w:b/>
          <w:bCs/>
        </w:rPr>
        <w:t>aumentaram 13,1% no período 2018-2022, sendo 4,5% em 2022</w:t>
      </w:r>
      <w:r w:rsidR="008A76A1">
        <w:t xml:space="preserve">, constituindo-se no agregado de maior crescimento, conforme vemos na Proposta para o </w:t>
      </w:r>
      <w:r w:rsidR="00DC63F4">
        <w:t>exercício de 2024</w:t>
      </w:r>
      <w:r w:rsidR="008A76A1">
        <w:t>, adiante</w:t>
      </w:r>
      <w:r>
        <w:t xml:space="preserve">. </w:t>
      </w:r>
    </w:p>
    <w:p w14:paraId="23421935" w14:textId="5A65CB7B" w:rsidR="003D18D8" w:rsidRPr="00203BA9" w:rsidRDefault="003D18D8" w:rsidP="00DC63F4">
      <w:pPr>
        <w:spacing w:line="360" w:lineRule="auto"/>
        <w:ind w:firstLine="567"/>
        <w:contextualSpacing/>
        <w:jc w:val="both"/>
      </w:pPr>
      <w:r>
        <w:t>Os investimentos aumentaram 69,5% no período e 43,8% em 2022 sobre 2021, quando ajustados. Deve ser mencionado que</w:t>
      </w:r>
      <w:r w:rsidR="003341C5">
        <w:t xml:space="preserve"> eles</w:t>
      </w:r>
      <w:r>
        <w:t xml:space="preserve"> foram favorecidos pela grande realização de receita de alienação de bens</w:t>
      </w:r>
      <w:r w:rsidR="003341C5">
        <w:t xml:space="preserve">, trata no item anterior. </w:t>
      </w:r>
      <w:r>
        <w:t xml:space="preserve">  </w:t>
      </w:r>
    </w:p>
    <w:p w14:paraId="029BD0E9" w14:textId="77777777" w:rsidR="00C52C9B" w:rsidRDefault="00C52C9B" w:rsidP="00863D43">
      <w:pPr>
        <w:jc w:val="both"/>
        <w:rPr>
          <w:b/>
          <w:bCs/>
        </w:rPr>
      </w:pPr>
    </w:p>
    <w:p w14:paraId="5D6BED01" w14:textId="21FB94CD" w:rsidR="002A3DA5" w:rsidRDefault="002A3DA5" w:rsidP="00863D43">
      <w:pPr>
        <w:jc w:val="both"/>
        <w:rPr>
          <w:b/>
          <w:bCs/>
        </w:rPr>
      </w:pPr>
      <w:r>
        <w:rPr>
          <w:b/>
          <w:bCs/>
        </w:rPr>
        <w:t>Serviço da dívida</w:t>
      </w:r>
    </w:p>
    <w:p w14:paraId="48053100" w14:textId="03D4DC31" w:rsidR="002A3DA5" w:rsidRPr="002A3DA5" w:rsidRDefault="002A3DA5" w:rsidP="002A3DA5">
      <w:pPr>
        <w:spacing w:line="360" w:lineRule="auto"/>
        <w:contextualSpacing/>
        <w:jc w:val="both"/>
      </w:pPr>
      <w:r>
        <w:t>O serviço da dívida está considerado pelo total devido, que foi empenhado, mesmo que a maior parte não tenha sido paga</w:t>
      </w:r>
      <w:r w:rsidR="008973DA">
        <w:t>, em decorrência de medida liminar em julho de 2017</w:t>
      </w:r>
      <w:r>
        <w:t xml:space="preserve">. Em 22/6/2022 foi homologado pelo Presidente da República o Plano de Recuperação Fiscal (RRF) com vigência ente 01/07/2022 e 31/12/2030, com valor escalonado para </w:t>
      </w:r>
      <w:r w:rsidR="00050E01">
        <w:t>pagamento d</w:t>
      </w:r>
      <w:r>
        <w:t>as prestações</w:t>
      </w:r>
      <w:r w:rsidR="00050E01">
        <w:t xml:space="preserve"> numa progressão aritmética d</w:t>
      </w:r>
      <w:r w:rsidR="00CD60CE">
        <w:t>e</w:t>
      </w:r>
      <w:r w:rsidR="00050E01">
        <w:t xml:space="preserve"> razão</w:t>
      </w:r>
      <w:r w:rsidR="008973DA">
        <w:t xml:space="preserve"> 1/9 por ano</w:t>
      </w:r>
      <w:r w:rsidR="00050E01">
        <w:t xml:space="preserve"> do valor </w:t>
      </w:r>
      <w:r w:rsidR="00CD60CE">
        <w:t xml:space="preserve">integral </w:t>
      </w:r>
      <w:r w:rsidR="00050E01">
        <w:t>da prestação de cada ano</w:t>
      </w:r>
      <w:r w:rsidR="00CD60CE">
        <w:t>, assim: (Pagamentos =1/9, 2/9, 3/9......8/9, 1) A pa</w:t>
      </w:r>
      <w:r>
        <w:t xml:space="preserve">rtir da vigência do RRF, os valores realizados passaram a ser pagos. Estima-se que a preços de 2022, as parcelas não pagas entre 2019 e 2022 seja cerca de R$ 16 bilhões. </w:t>
      </w:r>
    </w:p>
    <w:p w14:paraId="3F09545F" w14:textId="77777777" w:rsidR="00162541" w:rsidRDefault="00162541" w:rsidP="00863D43">
      <w:pPr>
        <w:jc w:val="both"/>
        <w:rPr>
          <w:b/>
          <w:bCs/>
        </w:rPr>
      </w:pPr>
    </w:p>
    <w:tbl>
      <w:tblPr>
        <w:tblW w:w="9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057"/>
        <w:gridCol w:w="850"/>
        <w:gridCol w:w="845"/>
        <w:gridCol w:w="845"/>
        <w:gridCol w:w="884"/>
        <w:gridCol w:w="990"/>
        <w:gridCol w:w="990"/>
      </w:tblGrid>
      <w:tr w:rsidR="00162541" w:rsidRPr="00162541" w14:paraId="28F4EE7A" w14:textId="77777777" w:rsidTr="000C7087">
        <w:trPr>
          <w:trHeight w:val="300"/>
        </w:trPr>
        <w:tc>
          <w:tcPr>
            <w:tcW w:w="7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31F7" w14:textId="1A0A487D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bela </w:t>
            </w:r>
            <w:r w:rsidR="000E76C4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2.</w:t>
            </w:r>
            <w:r w:rsidR="005330EF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 Despesas realizadas e consolidadas do Estado, 2018-2022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C552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A68B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62541" w:rsidRPr="00162541" w14:paraId="029373B1" w14:textId="77777777" w:rsidTr="000C7087">
        <w:trPr>
          <w:trHeight w:val="300"/>
        </w:trPr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78D7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Em R$ milhões constantes de 2022, pelo IPCA.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A4A1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63C5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47A6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5EEE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B011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62541" w:rsidRPr="00162541" w14:paraId="49A1C887" w14:textId="77777777" w:rsidTr="000C708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F5E9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D6B7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30FA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C275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E1F7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83F1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8BC5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62541" w:rsidRPr="00162541" w14:paraId="5BF872A3" w14:textId="77777777" w:rsidTr="000C708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96B337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662C75" w14:textId="77777777" w:rsidR="00162541" w:rsidRPr="00162541" w:rsidRDefault="00162541" w:rsidP="001625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C4586D" w14:textId="77777777" w:rsidR="00162541" w:rsidRPr="00162541" w:rsidRDefault="00162541" w:rsidP="001625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8111DC" w14:textId="77777777" w:rsidR="00162541" w:rsidRPr="00162541" w:rsidRDefault="00162541" w:rsidP="001625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96EA9A" w14:textId="77777777" w:rsidR="00162541" w:rsidRPr="00162541" w:rsidRDefault="00162541" w:rsidP="001625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B3134C" w14:textId="77777777" w:rsidR="00162541" w:rsidRPr="00162541" w:rsidRDefault="00162541" w:rsidP="001625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F84665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2022-2018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B146DD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2022-2021</w:t>
            </w:r>
          </w:p>
        </w:tc>
      </w:tr>
      <w:tr w:rsidR="00162541" w:rsidRPr="00162541" w14:paraId="4387614A" w14:textId="77777777" w:rsidTr="000C708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B5D9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2F7B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5FDE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ADDA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54BE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E0FA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BC80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40A2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62541" w:rsidRPr="00162541" w14:paraId="4373A74F" w14:textId="77777777" w:rsidTr="000C708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36F0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Pessoal e encargos sociais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73F8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37.019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E8AF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38.063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3127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36.082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8C1F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34.013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4AEA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33.085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E20D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-10,6%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EDE7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-2,7%</w:t>
            </w:r>
          </w:p>
        </w:tc>
      </w:tr>
      <w:tr w:rsidR="00162541" w:rsidRPr="00162541" w14:paraId="3D517248" w14:textId="77777777" w:rsidTr="000C708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6D39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Outras despesas correntes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F049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13.764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EC6C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13.779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C526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14.261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1B71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14.888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B9AF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15.564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3D53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13,1%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6F52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4,5%</w:t>
            </w:r>
          </w:p>
        </w:tc>
      </w:tr>
      <w:tr w:rsidR="00162541" w:rsidRPr="00162541" w14:paraId="434845DF" w14:textId="77777777" w:rsidTr="000C708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17A8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Serviço da dívida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90A0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5.031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290F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5.299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39C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5.136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455E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4.788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3536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857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4172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-83,0%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6A50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-82,1%</w:t>
            </w:r>
          </w:p>
        </w:tc>
      </w:tr>
      <w:tr w:rsidR="00162541" w:rsidRPr="00162541" w14:paraId="1DE621B6" w14:textId="77777777" w:rsidTr="000C708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4870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Investimentos amplos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505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2.219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DC9D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1.134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2490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1.148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9021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6.019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E4C2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3.760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A4BE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69,5%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E4B1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-37,5%</w:t>
            </w:r>
          </w:p>
        </w:tc>
      </w:tr>
      <w:tr w:rsidR="00162541" w:rsidRPr="00162541" w14:paraId="5DD0AD4D" w14:textId="77777777" w:rsidTr="000C708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FA91" w14:textId="36D02C42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(-) Capitalização CEEEE-D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5009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4E6C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-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6751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-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5F5A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3.404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B9C4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-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6547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1CCD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62541" w:rsidRPr="00162541" w14:paraId="38242579" w14:textId="77777777" w:rsidTr="000C708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5218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Investimentos ajustados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2481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2.219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5522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1.134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E540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1.148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914D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2.615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3AFE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3.760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2492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69,5%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F072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43,8%</w:t>
            </w:r>
          </w:p>
        </w:tc>
      </w:tr>
      <w:tr w:rsidR="00162541" w:rsidRPr="00162541" w14:paraId="3484BDDB" w14:textId="77777777" w:rsidTr="000C708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678D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68D5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58.032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A0B4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58.274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CD77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56.628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314A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59.708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9C4D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53.266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2D8E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-8,2%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9CE4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-10,8%</w:t>
            </w:r>
          </w:p>
        </w:tc>
      </w:tr>
      <w:tr w:rsidR="00162541" w:rsidRPr="00162541" w14:paraId="74248B36" w14:textId="77777777" w:rsidTr="000C708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44B08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Resultado orçamentário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F4EE4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-       5.038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26AA0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-    3.908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1683F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-       913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916EC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2.443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13400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3.325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4BCCA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-166,0%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B7496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36,1%</w:t>
            </w:r>
          </w:p>
        </w:tc>
      </w:tr>
      <w:tr w:rsidR="00162541" w:rsidRPr="00162541" w14:paraId="778C98FD" w14:textId="77777777" w:rsidTr="000C7087">
        <w:trPr>
          <w:trHeight w:val="300"/>
        </w:trPr>
        <w:tc>
          <w:tcPr>
            <w:tcW w:w="5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85F6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Em % da Receita corrente líquida das transferências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0535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B01A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9403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0444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62541" w:rsidRPr="00162541" w14:paraId="0138474B" w14:textId="77777777" w:rsidTr="000C708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1E84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Pessoal e encargos sociais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8A7E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57,0%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C3C3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58,4%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EE52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56,0%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C1DD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52,8%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21B6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61,2%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72892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AC40A2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62541" w:rsidRPr="00162541" w14:paraId="798D3B61" w14:textId="77777777" w:rsidTr="000C708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C3D0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Outras despesas correntes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EBE9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26,8%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3DCA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25,8%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107A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26,2%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E49A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25,3%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97FA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28,8%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DE15DB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F949B3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62541" w:rsidRPr="00162541" w14:paraId="6BCF9B5F" w14:textId="77777777" w:rsidTr="000C708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BF2E6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2225E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83,8%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D4E8F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84,2%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B98B1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82,2%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DA8D9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78,1%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371E9" w14:textId="77777777" w:rsidR="00162541" w:rsidRPr="00162541" w:rsidRDefault="00162541" w:rsidP="0016254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89,9%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15D2C1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433185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62541" w:rsidRPr="00162541" w14:paraId="49C07F1A" w14:textId="77777777" w:rsidTr="000C7087">
        <w:trPr>
          <w:trHeight w:val="300"/>
        </w:trPr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8679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FONTE: Proposta 2024 - Mensagem.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8649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62541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Cálculos próprios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4614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69DF" w14:textId="77777777" w:rsidR="00162541" w:rsidRPr="00162541" w:rsidRDefault="00162541" w:rsidP="001625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6C8D" w14:textId="77777777" w:rsidR="00162541" w:rsidRPr="00162541" w:rsidRDefault="00162541" w:rsidP="001625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1D37" w14:textId="77777777" w:rsidR="00162541" w:rsidRPr="00162541" w:rsidRDefault="00162541" w:rsidP="00162541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04FCB259" w14:textId="77777777" w:rsidR="00162541" w:rsidRDefault="00162541" w:rsidP="00863D43">
      <w:pPr>
        <w:jc w:val="both"/>
        <w:rPr>
          <w:b/>
          <w:bCs/>
        </w:rPr>
      </w:pPr>
    </w:p>
    <w:p w14:paraId="6758DD82" w14:textId="77777777" w:rsidR="00DC63F4" w:rsidRDefault="00DC63F4" w:rsidP="00863D43">
      <w:pPr>
        <w:jc w:val="both"/>
        <w:rPr>
          <w:b/>
          <w:bCs/>
        </w:rPr>
      </w:pPr>
    </w:p>
    <w:p w14:paraId="4E432DB0" w14:textId="77777777" w:rsidR="00837473" w:rsidRDefault="00837473" w:rsidP="00863D43">
      <w:pPr>
        <w:jc w:val="both"/>
        <w:rPr>
          <w:b/>
          <w:bCs/>
        </w:rPr>
      </w:pPr>
    </w:p>
    <w:p w14:paraId="0AE66D22" w14:textId="4A076748" w:rsidR="00DC63F4" w:rsidRPr="00D46BE8" w:rsidRDefault="00E92F62" w:rsidP="00D46BE8">
      <w:pPr>
        <w:pStyle w:val="Ttulo2"/>
        <w:rPr>
          <w:b/>
          <w:bCs/>
          <w:color w:val="auto"/>
        </w:rPr>
      </w:pPr>
      <w:bookmarkStart w:id="4" w:name="_Toc147820435"/>
      <w:r w:rsidRPr="00D46BE8">
        <w:rPr>
          <w:b/>
          <w:bCs/>
          <w:color w:val="auto"/>
        </w:rPr>
        <w:t>2</w:t>
      </w:r>
      <w:r w:rsidR="00DC63F4" w:rsidRPr="00D46BE8">
        <w:rPr>
          <w:b/>
          <w:bCs/>
          <w:color w:val="auto"/>
        </w:rPr>
        <w:t>.3.  Previdência Social</w:t>
      </w:r>
      <w:bookmarkEnd w:id="4"/>
    </w:p>
    <w:p w14:paraId="5F479D95" w14:textId="77777777" w:rsidR="00DC63F4" w:rsidRPr="00DC63F4" w:rsidRDefault="00DC63F4" w:rsidP="00DC63F4">
      <w:pPr>
        <w:jc w:val="both"/>
      </w:pPr>
    </w:p>
    <w:p w14:paraId="056AE47D" w14:textId="63327130" w:rsidR="00DC63F4" w:rsidRDefault="00DC63F4" w:rsidP="008906F9">
      <w:pPr>
        <w:spacing w:line="360" w:lineRule="auto"/>
        <w:contextualSpacing/>
        <w:jc w:val="both"/>
      </w:pPr>
      <w:r w:rsidRPr="00DC63F4">
        <w:t xml:space="preserve">A Tabela </w:t>
      </w:r>
      <w:r w:rsidR="00E92F62">
        <w:t>2</w:t>
      </w:r>
      <w:r w:rsidRPr="00DC63F4">
        <w:t>.4 trata da evolução o déficit previdenciário</w:t>
      </w:r>
      <w:r>
        <w:t xml:space="preserve"> desde 2004, ano seguinte à reforma de 2003. </w:t>
      </w:r>
    </w:p>
    <w:p w14:paraId="45596B91" w14:textId="1800B9DE" w:rsidR="00DC63F4" w:rsidRDefault="00DC63F4" w:rsidP="0022436B">
      <w:pPr>
        <w:spacing w:line="360" w:lineRule="auto"/>
        <w:ind w:firstLine="567"/>
        <w:contextualSpacing/>
        <w:jc w:val="both"/>
      </w:pPr>
      <w:r>
        <w:t xml:space="preserve">Nesta análise fiquemos com a situação a partir de 2018, quando se observa que o déficit previdenciário caiu de 14.757 milhões para 9.296 milhões em 2022, </w:t>
      </w:r>
      <w:r w:rsidR="003E450E">
        <w:t>uma queda de 37% em termos reais.</w:t>
      </w:r>
    </w:p>
    <w:p w14:paraId="44017472" w14:textId="4B1A1937" w:rsidR="003E450E" w:rsidRDefault="003E450E" w:rsidP="0022436B">
      <w:pPr>
        <w:spacing w:line="360" w:lineRule="auto"/>
        <w:ind w:firstLine="567"/>
        <w:contextualSpacing/>
        <w:jc w:val="both"/>
        <w:rPr>
          <w:b/>
          <w:bCs/>
        </w:rPr>
      </w:pPr>
      <w:r>
        <w:t xml:space="preserve">Acontece que </w:t>
      </w:r>
      <w:r w:rsidRPr="008906F9">
        <w:rPr>
          <w:b/>
        </w:rPr>
        <w:t xml:space="preserve">déficit é </w:t>
      </w:r>
      <w:r w:rsidRPr="003E450E">
        <w:rPr>
          <w:b/>
          <w:bCs/>
        </w:rPr>
        <w:t>receita menos benefícios</w:t>
      </w:r>
      <w:r>
        <w:t xml:space="preserve"> </w:t>
      </w:r>
      <w:r w:rsidRPr="008906F9">
        <w:rPr>
          <w:b/>
        </w:rPr>
        <w:t xml:space="preserve">previdenciários </w:t>
      </w:r>
      <w:r>
        <w:t xml:space="preserve">(aposentadorias, pensões e outros itens). E a receita é composta por </w:t>
      </w:r>
      <w:r w:rsidRPr="003E450E">
        <w:rPr>
          <w:b/>
          <w:bCs/>
        </w:rPr>
        <w:t>contribuição dos segurados</w:t>
      </w:r>
      <w:r>
        <w:t xml:space="preserve"> mais a </w:t>
      </w:r>
      <w:r w:rsidRPr="003E450E">
        <w:rPr>
          <w:b/>
          <w:bCs/>
        </w:rPr>
        <w:t>contribuição patronal</w:t>
      </w:r>
      <w:r>
        <w:rPr>
          <w:b/>
          <w:bCs/>
        </w:rPr>
        <w:t xml:space="preserve">. </w:t>
      </w:r>
      <w:r w:rsidRPr="003E450E">
        <w:t>Esta última</w:t>
      </w:r>
      <w:r>
        <w:rPr>
          <w:b/>
          <w:bCs/>
        </w:rPr>
        <w:t xml:space="preserve">, assim com os benefícios </w:t>
      </w:r>
      <w:r w:rsidR="008906F9">
        <w:rPr>
          <w:b/>
          <w:bCs/>
        </w:rPr>
        <w:t xml:space="preserve">são </w:t>
      </w:r>
      <w:r>
        <w:rPr>
          <w:b/>
          <w:bCs/>
        </w:rPr>
        <w:t>encargo</w:t>
      </w:r>
      <w:r w:rsidR="008906F9">
        <w:rPr>
          <w:b/>
          <w:bCs/>
        </w:rPr>
        <w:t>s</w:t>
      </w:r>
      <w:r>
        <w:rPr>
          <w:b/>
          <w:bCs/>
        </w:rPr>
        <w:t xml:space="preserve"> do Estado. </w:t>
      </w:r>
      <w:r w:rsidRPr="003E450E">
        <w:t xml:space="preserve">Somando-se </w:t>
      </w:r>
      <w:r w:rsidR="008906F9" w:rsidRPr="003E450E">
        <w:t>amb</w:t>
      </w:r>
      <w:r w:rsidR="008906F9">
        <w:t>o</w:t>
      </w:r>
      <w:r w:rsidR="008906F9" w:rsidRPr="003E450E">
        <w:t>s</w:t>
      </w:r>
      <w:r w:rsidR="008906F9">
        <w:t xml:space="preserve">, </w:t>
      </w:r>
      <w:r w:rsidR="008906F9" w:rsidRPr="003E450E">
        <w:t>tem</w:t>
      </w:r>
      <w:r w:rsidRPr="003E450E">
        <w:t xml:space="preserve">-se a </w:t>
      </w:r>
      <w:r>
        <w:rPr>
          <w:b/>
          <w:bCs/>
        </w:rPr>
        <w:t xml:space="preserve">Necessidade de </w:t>
      </w:r>
      <w:r w:rsidR="00C90393">
        <w:rPr>
          <w:b/>
          <w:bCs/>
        </w:rPr>
        <w:t>F</w:t>
      </w:r>
      <w:r>
        <w:rPr>
          <w:b/>
          <w:bCs/>
        </w:rPr>
        <w:t xml:space="preserve">inanciamento, que baixou de R$ 18.242 milhões em 2018 para 14.983 milhões em 2022, ou 17,8%. </w:t>
      </w:r>
    </w:p>
    <w:p w14:paraId="35FE0B51" w14:textId="77777777" w:rsidR="00F606D1" w:rsidRDefault="00F606D1" w:rsidP="0022436B">
      <w:pPr>
        <w:spacing w:line="360" w:lineRule="auto"/>
        <w:ind w:firstLine="567"/>
        <w:contextualSpacing/>
        <w:jc w:val="both"/>
        <w:rPr>
          <w:b/>
          <w:bCs/>
        </w:rPr>
      </w:pPr>
    </w:p>
    <w:p w14:paraId="06BE8841" w14:textId="6E0B4DC4" w:rsidR="003E450E" w:rsidRDefault="000642CE" w:rsidP="0022436B">
      <w:pPr>
        <w:spacing w:line="360" w:lineRule="auto"/>
        <w:ind w:firstLine="567"/>
        <w:contextualSpacing/>
        <w:jc w:val="both"/>
      </w:pPr>
      <w:r w:rsidRPr="000642CE">
        <w:t xml:space="preserve">O valor do déficit em relação ao dispêndio total depende também da classificação contábil entre </w:t>
      </w:r>
      <w:r w:rsidRPr="008906F9">
        <w:rPr>
          <w:b/>
        </w:rPr>
        <w:t>contribuição patronal e complementação para pagamento do déficit</w:t>
      </w:r>
      <w:r w:rsidRPr="000642CE">
        <w:t>. Se a primeira é aumentada</w:t>
      </w:r>
      <w:r w:rsidR="008906F9">
        <w:t xml:space="preserve"> em</w:t>
      </w:r>
      <w:r w:rsidRPr="000642CE">
        <w:t xml:space="preserve"> detrimento da segunda, o déficit é reduzido, embora a necessidade de financiamento não se altere. </w:t>
      </w:r>
      <w:r>
        <w:t xml:space="preserve">Por isso, o déficit isoladamente não é um bom indicador da situação financeira.  </w:t>
      </w:r>
    </w:p>
    <w:p w14:paraId="3B499ECF" w14:textId="671055CB" w:rsidR="000642CE" w:rsidRDefault="000642CE" w:rsidP="0022436B">
      <w:pPr>
        <w:spacing w:line="360" w:lineRule="auto"/>
        <w:ind w:firstLine="567"/>
        <w:contextualSpacing/>
        <w:jc w:val="both"/>
      </w:pPr>
      <w:r>
        <w:t xml:space="preserve">Em relação à receita corrente líquida efetiva _ </w:t>
      </w:r>
      <w:r w:rsidR="00027B1B">
        <w:t>RCLe, o</w:t>
      </w:r>
      <w:r>
        <w:t xml:space="preserve"> </w:t>
      </w:r>
      <w:r w:rsidR="0022436B">
        <w:t>déficit cresceu</w:t>
      </w:r>
      <w:r w:rsidR="00027B1B">
        <w:t xml:space="preserve"> continuadamente </w:t>
      </w:r>
      <w:r w:rsidR="0022436B">
        <w:t>até 2018</w:t>
      </w:r>
      <w:r>
        <w:t xml:space="preserve">, quando </w:t>
      </w:r>
      <w:r w:rsidR="00027B1B">
        <w:t xml:space="preserve">alcançou </w:t>
      </w:r>
      <w:r>
        <w:t>29,2%</w:t>
      </w:r>
      <w:r w:rsidR="00027B1B">
        <w:t xml:space="preserve">, passando a cair daí em diante, até alcançar 17,2% em 2022. </w:t>
      </w:r>
    </w:p>
    <w:p w14:paraId="66F85414" w14:textId="4BF4C3E9" w:rsidR="00027B1B" w:rsidRDefault="00027B1B" w:rsidP="0022436B">
      <w:pPr>
        <w:spacing w:line="360" w:lineRule="auto"/>
        <w:ind w:firstLine="567"/>
        <w:contextualSpacing/>
        <w:jc w:val="both"/>
      </w:pPr>
      <w:r>
        <w:t xml:space="preserve">O mesmo pode ser dito da </w:t>
      </w:r>
      <w:r w:rsidRPr="008906F9">
        <w:rPr>
          <w:b/>
        </w:rPr>
        <w:t>necessidade financiamento</w:t>
      </w:r>
      <w:r>
        <w:t>, que alcançou um máximo de 36,1% em 2018, para cair daí em diante, culminando com 27,7%</w:t>
      </w:r>
      <w:r w:rsidR="008906F9">
        <w:t xml:space="preserve"> em 2022.</w:t>
      </w:r>
      <w:r>
        <w:t xml:space="preserve"> </w:t>
      </w:r>
    </w:p>
    <w:p w14:paraId="4ECDAA6C" w14:textId="2701D999" w:rsidR="0022436B" w:rsidRDefault="0022436B" w:rsidP="0022436B">
      <w:pPr>
        <w:spacing w:line="360" w:lineRule="auto"/>
        <w:ind w:firstLine="567"/>
        <w:contextualSpacing/>
        <w:jc w:val="both"/>
      </w:pPr>
      <w:r>
        <w:t xml:space="preserve">Esse desempenho se deve às reformas feitas nos quadros de pessoal e a na Previdência e também à grande contenção da folha de pagamento. </w:t>
      </w:r>
    </w:p>
    <w:p w14:paraId="29D8FDB8" w14:textId="78B83CB0" w:rsidR="0022436B" w:rsidRPr="000642CE" w:rsidRDefault="0022436B" w:rsidP="0022436B">
      <w:pPr>
        <w:spacing w:line="360" w:lineRule="auto"/>
        <w:ind w:firstLine="567"/>
        <w:contextualSpacing/>
        <w:jc w:val="both"/>
      </w:pPr>
      <w:r>
        <w:lastRenderedPageBreak/>
        <w:t xml:space="preserve">Tanto as reformas da Previdência como a dos quadros de pessoal, lentamente, continuarão surtindo efeitos ao longo dos anos. </w:t>
      </w:r>
    </w:p>
    <w:p w14:paraId="163AFE68" w14:textId="77777777" w:rsidR="00DC63F4" w:rsidRDefault="00DC63F4" w:rsidP="003E450E">
      <w:pPr>
        <w:spacing w:line="360" w:lineRule="auto"/>
        <w:contextualSpacing/>
        <w:jc w:val="both"/>
        <w:rPr>
          <w:b/>
          <w:bCs/>
        </w:rPr>
      </w:pPr>
    </w:p>
    <w:tbl>
      <w:tblPr>
        <w:tblW w:w="6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46"/>
      </w:tblGrid>
      <w:tr w:rsidR="00C52C9B" w:rsidRPr="00C52C9B" w14:paraId="6620A0AE" w14:textId="77777777" w:rsidTr="00C52C9B">
        <w:trPr>
          <w:trHeight w:val="255"/>
        </w:trPr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2156" w14:textId="5DE600FA" w:rsidR="00C52C9B" w:rsidRPr="00C52C9B" w:rsidRDefault="00C52C9B" w:rsidP="00C52C9B">
            <w:pPr>
              <w:spacing w:after="0" w:line="240" w:lineRule="auto"/>
              <w:rPr>
                <w:rFonts w:eastAsia="Times New Roman"/>
                <w:kern w:val="0"/>
                <w:sz w:val="20"/>
                <w:lang w:eastAsia="pt-BR"/>
                <w14:ligatures w14:val="none"/>
              </w:rPr>
            </w:pPr>
            <w:r w:rsidRPr="00C52C9B">
              <w:rPr>
                <w:rFonts w:eastAsia="Times New Roman"/>
                <w:kern w:val="0"/>
                <w:sz w:val="20"/>
                <w:lang w:eastAsia="pt-BR"/>
                <w14:ligatures w14:val="none"/>
              </w:rPr>
              <w:t>Tabela</w:t>
            </w:r>
            <w:r w:rsidR="00DC63F4">
              <w:rPr>
                <w:rFonts w:eastAsia="Times New Roman"/>
                <w:kern w:val="0"/>
                <w:sz w:val="20"/>
                <w:lang w:eastAsia="pt-BR"/>
                <w14:ligatures w14:val="none"/>
              </w:rPr>
              <w:t xml:space="preserve"> </w:t>
            </w:r>
            <w:r w:rsidR="00E92F62">
              <w:rPr>
                <w:rFonts w:eastAsia="Times New Roman"/>
                <w:kern w:val="0"/>
                <w:sz w:val="20"/>
                <w:lang w:eastAsia="pt-BR"/>
                <w14:ligatures w14:val="none"/>
              </w:rPr>
              <w:t>2</w:t>
            </w:r>
            <w:r w:rsidR="00DC63F4">
              <w:rPr>
                <w:rFonts w:eastAsia="Times New Roman"/>
                <w:kern w:val="0"/>
                <w:sz w:val="20"/>
                <w:lang w:eastAsia="pt-BR"/>
                <w14:ligatures w14:val="none"/>
              </w:rPr>
              <w:t>.4</w:t>
            </w:r>
            <w:r w:rsidRPr="00C52C9B">
              <w:rPr>
                <w:rFonts w:eastAsia="Times New Roman"/>
                <w:kern w:val="0"/>
                <w:sz w:val="20"/>
                <w:lang w:eastAsia="pt-BR"/>
                <w14:ligatures w14:val="none"/>
              </w:rPr>
              <w:t xml:space="preserve">. Déficit previdenciário e necessidade de financiamento </w:t>
            </w:r>
            <w:r w:rsidR="00837473">
              <w:rPr>
                <w:rFonts w:eastAsia="Times New Roman"/>
                <w:kern w:val="0"/>
                <w:sz w:val="20"/>
                <w:lang w:eastAsia="pt-BR"/>
                <w14:ligatures w14:val="none"/>
              </w:rPr>
              <w:t>do Plano Financeiro da Previdência Pública do RS</w:t>
            </w:r>
          </w:p>
        </w:tc>
      </w:tr>
      <w:tr w:rsidR="00C52C9B" w:rsidRPr="00C52C9B" w14:paraId="63721145" w14:textId="77777777" w:rsidTr="00C52C9B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1525" w14:textId="77777777" w:rsidR="00C52C9B" w:rsidRPr="00C52C9B" w:rsidRDefault="00C52C9B" w:rsidP="00C52C9B">
            <w:pPr>
              <w:spacing w:after="0" w:line="240" w:lineRule="auto"/>
              <w:rPr>
                <w:rFonts w:eastAsia="Times New Roman"/>
                <w:kern w:val="0"/>
                <w:sz w:val="20"/>
                <w:lang w:eastAsia="pt-BR"/>
                <w14:ligatures w14:val="none"/>
              </w:rPr>
            </w:pPr>
            <w:r w:rsidRPr="00C52C9B">
              <w:rPr>
                <w:rFonts w:eastAsia="Times New Roman"/>
                <w:kern w:val="0"/>
                <w:sz w:val="20"/>
                <w:lang w:eastAsia="pt-BR"/>
                <w14:ligatures w14:val="none"/>
              </w:rPr>
              <w:t>Em R$ milhões constantes pelo IPCA de 2022.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EF6D" w14:textId="77777777" w:rsidR="00C52C9B" w:rsidRPr="00C52C9B" w:rsidRDefault="00C52C9B" w:rsidP="00C52C9B">
            <w:pPr>
              <w:spacing w:after="0" w:line="240" w:lineRule="auto"/>
              <w:rPr>
                <w:rFonts w:eastAsia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</w:tbl>
    <w:p w14:paraId="11102408" w14:textId="77777777" w:rsidR="008137F7" w:rsidRDefault="008137F7" w:rsidP="00863D43">
      <w:pPr>
        <w:jc w:val="both"/>
        <w:rPr>
          <w:b/>
          <w:bCs/>
        </w:rPr>
      </w:pPr>
    </w:p>
    <w:p w14:paraId="29FFA51F" w14:textId="33711A15" w:rsidR="008137F7" w:rsidRDefault="00C52C9B" w:rsidP="00863D43">
      <w:pPr>
        <w:jc w:val="both"/>
        <w:rPr>
          <w:b/>
          <w:bCs/>
        </w:rPr>
      </w:pPr>
      <w:r w:rsidRPr="00C52C9B">
        <w:rPr>
          <w:noProof/>
          <w:lang w:eastAsia="pt-BR"/>
        </w:rPr>
        <w:drawing>
          <wp:inline distT="0" distB="0" distL="0" distR="0" wp14:anchorId="7B269DBE" wp14:editId="277695C2">
            <wp:extent cx="5400040" cy="3326130"/>
            <wp:effectExtent l="0" t="0" r="0" b="7620"/>
            <wp:docPr id="107995593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27C4F" w14:textId="029B7AA1" w:rsidR="00837473" w:rsidRPr="00837473" w:rsidRDefault="00837473" w:rsidP="00863D43">
      <w:pPr>
        <w:jc w:val="both"/>
      </w:pPr>
      <w:r>
        <w:t xml:space="preserve">Gráfico </w:t>
      </w:r>
      <w:r w:rsidR="00E92F62">
        <w:t>2</w:t>
      </w:r>
      <w:r>
        <w:t>.1. Déficit e necessidade de financiamento do Plano Financeiro da Previdência Pública do RS, 2004-2022, em % da RCLe</w:t>
      </w:r>
    </w:p>
    <w:tbl>
      <w:tblPr>
        <w:tblW w:w="7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</w:tblGrid>
      <w:tr w:rsidR="00837473" w:rsidRPr="00837473" w14:paraId="4EFFD5E1" w14:textId="77777777" w:rsidTr="009C48E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39FC" w14:textId="79926F1E" w:rsidR="00837473" w:rsidRPr="00837473" w:rsidRDefault="00837473" w:rsidP="00837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37473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ACA9DEC" wp14:editId="471131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4857750" cy="2447925"/>
                  <wp:effectExtent l="0" t="0" r="0" b="9525"/>
                  <wp:wrapNone/>
                  <wp:docPr id="2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D403B4-DF21-8A63-A775-044B5FB283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37473" w:rsidRPr="00837473" w14:paraId="0CCD60EB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22475" w14:textId="77777777" w:rsidR="00837473" w:rsidRPr="00837473" w:rsidRDefault="00837473" w:rsidP="008374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pt-BR"/>
                      <w14:ligatures w14:val="none"/>
                    </w:rPr>
                  </w:pPr>
                </w:p>
              </w:tc>
            </w:tr>
          </w:tbl>
          <w:p w14:paraId="3E0BC4A1" w14:textId="77777777" w:rsidR="00837473" w:rsidRPr="00837473" w:rsidRDefault="00837473" w:rsidP="00837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233C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B155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B903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653C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6AA9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DA9F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C560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837473" w:rsidRPr="00837473" w14:paraId="236A52A2" w14:textId="77777777" w:rsidTr="009C48E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090E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42A4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5E47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9553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4839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FF4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272F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2437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837473" w:rsidRPr="00837473" w14:paraId="74035141" w14:textId="77777777" w:rsidTr="009C48E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E60C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21FD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D9A1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AC90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D732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6C8F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8A28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0311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837473" w:rsidRPr="00837473" w14:paraId="34EDA3E9" w14:textId="77777777" w:rsidTr="009C48E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FA7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1904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9602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7F3F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A0C1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D22C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B574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0A52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837473" w:rsidRPr="00837473" w14:paraId="2923683F" w14:textId="77777777" w:rsidTr="009C48E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FD5C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727D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E480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DA17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B28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5F77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1B4B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D587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837473" w:rsidRPr="00837473" w14:paraId="205FB594" w14:textId="77777777" w:rsidTr="009C48E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084F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AD38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141C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5D0D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7E43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8F34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A6F0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385A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837473" w:rsidRPr="00837473" w14:paraId="5ECFFA42" w14:textId="77777777" w:rsidTr="009C48E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C34A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9D2A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1F56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003B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B70B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F225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446A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8195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837473" w:rsidRPr="00837473" w14:paraId="24915210" w14:textId="77777777" w:rsidTr="009C48E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9A9A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03F9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5561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2FA0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C83F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D86E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A8A3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434A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837473" w:rsidRPr="00837473" w14:paraId="2BE82BC5" w14:textId="77777777" w:rsidTr="009C48E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0407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870A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6646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4487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B242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3ED4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3557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1AC7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837473" w:rsidRPr="00837473" w14:paraId="659299E0" w14:textId="77777777" w:rsidTr="009C48E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F87D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97AC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672B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B39E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6375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35AD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1432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C703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837473" w:rsidRPr="00837473" w14:paraId="6CF4983F" w14:textId="77777777" w:rsidTr="009C48E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13C5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4DE7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4886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F998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2FE9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C281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A5EF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77DA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837473" w:rsidRPr="00837473" w14:paraId="6103BDB4" w14:textId="77777777" w:rsidTr="009C48E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8F9C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5513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880E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45DF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4C1D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AEAE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2140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7E80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837473" w:rsidRPr="00837473" w14:paraId="3B804322" w14:textId="77777777" w:rsidTr="009C48E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8DFC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F674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AE48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00CF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DA66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1C54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6880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FA39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837473" w:rsidRPr="00837473" w14:paraId="5B0080FD" w14:textId="77777777" w:rsidTr="009C48E5">
        <w:trPr>
          <w:trHeight w:val="300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54CE" w14:textId="77777777" w:rsidR="00837473" w:rsidRPr="00837473" w:rsidRDefault="00837473" w:rsidP="00837473">
            <w:pPr>
              <w:spacing w:after="0" w:line="240" w:lineRule="auto"/>
              <w:rPr>
                <w:rFonts w:eastAsia="Times New Roman"/>
                <w:kern w:val="0"/>
                <w:sz w:val="20"/>
                <w:lang w:eastAsia="pt-BR"/>
                <w14:ligatures w14:val="none"/>
              </w:rPr>
            </w:pPr>
            <w:r w:rsidRPr="00837473">
              <w:rPr>
                <w:rFonts w:eastAsia="Times New Roman"/>
                <w:kern w:val="0"/>
                <w:sz w:val="20"/>
                <w:lang w:eastAsia="pt-BR"/>
                <w14:ligatures w14:val="none"/>
              </w:rPr>
              <w:t xml:space="preserve">Fonte: Pareceres Prévios do TCE, até 2011. Após: RREO's.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A6E" w14:textId="77777777" w:rsidR="00837473" w:rsidRPr="00837473" w:rsidRDefault="00837473" w:rsidP="00837473">
            <w:pPr>
              <w:spacing w:after="0" w:line="240" w:lineRule="auto"/>
              <w:rPr>
                <w:rFonts w:eastAsia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4E66" w14:textId="77777777" w:rsidR="00837473" w:rsidRPr="00837473" w:rsidRDefault="00837473" w:rsidP="00837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</w:tbl>
    <w:p w14:paraId="484142F4" w14:textId="65A43513" w:rsidR="00E814E7" w:rsidRDefault="00E814E7" w:rsidP="00281778">
      <w:pPr>
        <w:spacing w:line="360" w:lineRule="auto"/>
        <w:ind w:firstLine="567"/>
        <w:contextualSpacing/>
        <w:jc w:val="both"/>
        <w:rPr>
          <w:bCs/>
        </w:rPr>
      </w:pPr>
      <w:r w:rsidRPr="00E814E7">
        <w:rPr>
          <w:bCs/>
        </w:rPr>
        <w:t xml:space="preserve">A contribuição previdenciária é </w:t>
      </w:r>
      <w:r>
        <w:rPr>
          <w:bCs/>
        </w:rPr>
        <w:t xml:space="preserve">escalonada </w:t>
      </w:r>
      <w:r w:rsidRPr="00E814E7">
        <w:rPr>
          <w:bCs/>
        </w:rPr>
        <w:t>de 7,5% a 22%, sendo a contribuição efetiva de16,78%, com incidência para inativos e pensioni</w:t>
      </w:r>
      <w:r>
        <w:rPr>
          <w:bCs/>
        </w:rPr>
        <w:t>s</w:t>
      </w:r>
      <w:r w:rsidRPr="00E814E7">
        <w:rPr>
          <w:bCs/>
        </w:rPr>
        <w:t xml:space="preserve">tas a </w:t>
      </w:r>
      <w:r w:rsidRPr="00E814E7">
        <w:rPr>
          <w:bCs/>
        </w:rPr>
        <w:lastRenderedPageBreak/>
        <w:t>partir de uma salário</w:t>
      </w:r>
      <w:r>
        <w:rPr>
          <w:bCs/>
        </w:rPr>
        <w:t>-</w:t>
      </w:r>
      <w:r w:rsidRPr="00E814E7">
        <w:rPr>
          <w:bCs/>
        </w:rPr>
        <w:t>mínimo.</w:t>
      </w:r>
      <w:r>
        <w:rPr>
          <w:bCs/>
        </w:rPr>
        <w:t xml:space="preserve"> A partir de 19/08/2016 entrou em vigor o Regime de Previdência Complementar, opcional, para as remunerações que excederem ao teto do INSS. E a contribuição no caso é igualitária, de 7,5% para Estado e servidor. O RGP é em contribuição definida, recebendo o aposentando o que estiver na conta, porque é personalizada. O único encargo do Estado é a contribuição de que faz mensalmente. </w:t>
      </w:r>
    </w:p>
    <w:p w14:paraId="502D2018" w14:textId="77777777" w:rsidR="00E814E7" w:rsidRDefault="00E814E7" w:rsidP="00281778">
      <w:pPr>
        <w:spacing w:line="360" w:lineRule="auto"/>
        <w:ind w:firstLine="567"/>
        <w:contextualSpacing/>
        <w:jc w:val="both"/>
        <w:rPr>
          <w:bCs/>
        </w:rPr>
      </w:pPr>
    </w:p>
    <w:p w14:paraId="4C6A33E1" w14:textId="436BC4E3" w:rsidR="008137F7" w:rsidRPr="00281778" w:rsidRDefault="006E6AD2" w:rsidP="00442B23">
      <w:pPr>
        <w:pStyle w:val="PargrafodaLista"/>
        <w:numPr>
          <w:ilvl w:val="0"/>
          <w:numId w:val="4"/>
        </w:numPr>
        <w:spacing w:line="360" w:lineRule="auto"/>
        <w:jc w:val="both"/>
        <w:outlineLvl w:val="0"/>
        <w:rPr>
          <w:b/>
          <w:bCs/>
        </w:rPr>
      </w:pPr>
      <w:bookmarkStart w:id="5" w:name="_Toc147820436"/>
      <w:r w:rsidRPr="00281778">
        <w:rPr>
          <w:b/>
          <w:bCs/>
        </w:rPr>
        <w:t>Proposta orçamentária</w:t>
      </w:r>
      <w:r w:rsidR="005F540B" w:rsidRPr="00281778">
        <w:rPr>
          <w:b/>
          <w:bCs/>
        </w:rPr>
        <w:t xml:space="preserve"> - Apontamentos</w:t>
      </w:r>
      <w:bookmarkEnd w:id="5"/>
    </w:p>
    <w:p w14:paraId="270037D1" w14:textId="77777777" w:rsidR="00E92F62" w:rsidRDefault="00E92F62" w:rsidP="00E92F62">
      <w:pPr>
        <w:rPr>
          <w:b/>
          <w:bCs/>
        </w:rPr>
      </w:pPr>
    </w:p>
    <w:p w14:paraId="4E6A23B1" w14:textId="6C35D8CC" w:rsidR="00E92F62" w:rsidRPr="00DC242E" w:rsidRDefault="00E92F62" w:rsidP="00D46BE8">
      <w:pPr>
        <w:pStyle w:val="PargrafodaLista"/>
        <w:numPr>
          <w:ilvl w:val="1"/>
          <w:numId w:val="4"/>
        </w:numPr>
        <w:outlineLvl w:val="1"/>
        <w:rPr>
          <w:b/>
          <w:bCs/>
        </w:rPr>
      </w:pPr>
      <w:bookmarkStart w:id="6" w:name="_Toc147820437"/>
      <w:r w:rsidRPr="00DC242E">
        <w:rPr>
          <w:b/>
          <w:bCs/>
        </w:rPr>
        <w:t>Dados globais</w:t>
      </w:r>
      <w:bookmarkEnd w:id="6"/>
    </w:p>
    <w:p w14:paraId="77C9AB64" w14:textId="77777777" w:rsidR="00C26488" w:rsidRDefault="00C26488" w:rsidP="00E92F62">
      <w:pPr>
        <w:rPr>
          <w:b/>
          <w:bCs/>
        </w:rPr>
      </w:pPr>
    </w:p>
    <w:p w14:paraId="5CC0BB3F" w14:textId="4B8A8C86" w:rsidR="00E92F62" w:rsidRDefault="00E92F62" w:rsidP="00E92F62">
      <w:pPr>
        <w:spacing w:line="360" w:lineRule="auto"/>
        <w:contextualSpacing/>
        <w:jc w:val="both"/>
      </w:pPr>
      <w:r w:rsidRPr="008A1A2A">
        <w:t xml:space="preserve">A Tabela </w:t>
      </w:r>
      <w:r w:rsidR="006E6AD2">
        <w:t>3</w:t>
      </w:r>
      <w:r w:rsidRPr="008A1A2A">
        <w:t>.1 traz as receitas previstas para o exercício, deduzidas das transferências aos municípios e ao Fundeb.</w:t>
      </w:r>
    </w:p>
    <w:p w14:paraId="1D3DD7A2" w14:textId="77777777" w:rsidR="00281778" w:rsidRDefault="00281778" w:rsidP="00E92F62">
      <w:pPr>
        <w:spacing w:line="360" w:lineRule="auto"/>
        <w:contextualSpacing/>
        <w:jc w:val="both"/>
      </w:pPr>
    </w:p>
    <w:p w14:paraId="68DC451D" w14:textId="64EC0B0C" w:rsidR="00E92F62" w:rsidRDefault="00E92F62" w:rsidP="00E92F62">
      <w:pPr>
        <w:spacing w:line="360" w:lineRule="auto"/>
        <w:ind w:firstLine="567"/>
        <w:contextualSpacing/>
        <w:jc w:val="both"/>
      </w:pPr>
      <w:r w:rsidRPr="008A1A2A">
        <w:t xml:space="preserve">Nas receitas correntes estão também somadas as parcelas recebidas do </w:t>
      </w:r>
      <w:r w:rsidRPr="00533AFA">
        <w:rPr>
          <w:b/>
          <w:bCs/>
        </w:rPr>
        <w:t>Fundeb</w:t>
      </w:r>
      <w:r w:rsidRPr="008A1A2A">
        <w:t xml:space="preserve"> e deduzida </w:t>
      </w:r>
      <w:r>
        <w:t>d</w:t>
      </w:r>
      <w:r w:rsidRPr="008A1A2A">
        <w:t>as transferências feitas a ele, na ordem de 20% da maioria das receitas tributárias e de transferências</w:t>
      </w:r>
      <w:r>
        <w:t xml:space="preserve">. </w:t>
      </w:r>
    </w:p>
    <w:p w14:paraId="4E70AB1E" w14:textId="77777777" w:rsidR="00281778" w:rsidRDefault="00281778" w:rsidP="00E92F62">
      <w:pPr>
        <w:spacing w:line="360" w:lineRule="auto"/>
        <w:ind w:firstLine="567"/>
        <w:contextualSpacing/>
        <w:jc w:val="both"/>
      </w:pPr>
    </w:p>
    <w:p w14:paraId="3BF0AAC8" w14:textId="0385159D" w:rsidR="00210A17" w:rsidRDefault="00E92F62" w:rsidP="00E92F62">
      <w:pPr>
        <w:spacing w:line="360" w:lineRule="auto"/>
        <w:ind w:firstLine="567"/>
        <w:contextualSpacing/>
        <w:jc w:val="both"/>
      </w:pPr>
      <w:r>
        <w:t xml:space="preserve"> No total, serão remetidos R$ 8.782.9 milhões e recebidos R$ 6158,3 milhões, gerando </w:t>
      </w:r>
      <w:r w:rsidRPr="00281778">
        <w:rPr>
          <w:b/>
        </w:rPr>
        <w:t>“perdas” na ordem de R$ 2.624,6 milhões</w:t>
      </w:r>
      <w:r>
        <w:t xml:space="preserve">. Essas perdem tendem a aumentar em decorrência do aumento da receita que é natural e da queda do número de matrículas, que vem ocorrendo. </w:t>
      </w:r>
    </w:p>
    <w:p w14:paraId="239AD4FF" w14:textId="77777777" w:rsidR="00281778" w:rsidRDefault="00281778" w:rsidP="00E92F62">
      <w:pPr>
        <w:spacing w:line="360" w:lineRule="auto"/>
        <w:ind w:firstLine="567"/>
        <w:contextualSpacing/>
        <w:jc w:val="both"/>
      </w:pPr>
    </w:p>
    <w:p w14:paraId="65545295" w14:textId="643B1ADF" w:rsidR="00E92F62" w:rsidRDefault="00210A17" w:rsidP="00E92F62">
      <w:pPr>
        <w:spacing w:line="360" w:lineRule="auto"/>
        <w:ind w:firstLine="567"/>
        <w:contextualSpacing/>
        <w:jc w:val="both"/>
      </w:pPr>
      <w:r>
        <w:t xml:space="preserve">Segundo a Mensagem, p.85, em valores correntes, entre 2012 e 2022, as perdas totalizaram R$ 17 bilhões. Na realidade, essas </w:t>
      </w:r>
      <w:r w:rsidRPr="00210A17">
        <w:rPr>
          <w:b/>
          <w:bCs/>
        </w:rPr>
        <w:t xml:space="preserve">perdas </w:t>
      </w:r>
      <w:r>
        <w:t xml:space="preserve">não são propriamente perdas, porque todos esses recursos são aplicados na educação dos municípios do próprio Estado do RS. São perdas para o Tesouro estadual. </w:t>
      </w:r>
    </w:p>
    <w:p w14:paraId="6EF1114B" w14:textId="77777777" w:rsidR="00E92F62" w:rsidRDefault="00E92F62" w:rsidP="00E92F62">
      <w:pPr>
        <w:spacing w:line="360" w:lineRule="auto"/>
        <w:ind w:firstLine="567"/>
        <w:contextualSpacing/>
        <w:jc w:val="both"/>
      </w:pPr>
    </w:p>
    <w:p w14:paraId="4B1925A3" w14:textId="405C03E2" w:rsidR="00E92F62" w:rsidRDefault="00E92F62" w:rsidP="00E92F62">
      <w:pPr>
        <w:spacing w:line="360" w:lineRule="auto"/>
        <w:ind w:firstLine="567"/>
        <w:contextualSpacing/>
        <w:jc w:val="both"/>
      </w:pPr>
    </w:p>
    <w:p w14:paraId="250DC80D" w14:textId="4E0CA4C8" w:rsidR="00281778" w:rsidRDefault="00281778" w:rsidP="00E92F62">
      <w:pPr>
        <w:spacing w:line="360" w:lineRule="auto"/>
        <w:ind w:firstLine="567"/>
        <w:contextualSpacing/>
        <w:jc w:val="both"/>
      </w:pPr>
    </w:p>
    <w:p w14:paraId="561A6718" w14:textId="4C0179DC" w:rsidR="00281778" w:rsidRDefault="00281778" w:rsidP="00E92F62">
      <w:pPr>
        <w:spacing w:line="360" w:lineRule="auto"/>
        <w:ind w:firstLine="567"/>
        <w:contextualSpacing/>
        <w:jc w:val="both"/>
      </w:pPr>
    </w:p>
    <w:tbl>
      <w:tblPr>
        <w:tblW w:w="9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742"/>
        <w:gridCol w:w="1569"/>
        <w:gridCol w:w="1742"/>
      </w:tblGrid>
      <w:tr w:rsidR="00E92F62" w:rsidRPr="008A1A2A" w14:paraId="072FB70A" w14:textId="77777777" w:rsidTr="00281778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A176" w14:textId="38A1745C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Tabela </w:t>
            </w:r>
            <w:r w:rsidR="006E6AD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3</w:t>
            </w: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.1. Proposta orçamentária para 2024 - dados globais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EBA1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6F6F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E92F62" w:rsidRPr="008A1A2A" w14:paraId="08B32EC2" w14:textId="77777777" w:rsidTr="00281778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B992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RECEITAS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060E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3621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7152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E92F62" w:rsidRPr="008A1A2A" w14:paraId="5F67AD65" w14:textId="77777777" w:rsidTr="00281778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8564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4105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21AD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C0EA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E92F62" w:rsidRPr="008A1A2A" w14:paraId="27DF5EB8" w14:textId="77777777" w:rsidTr="00281778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73D41C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9CF68A" w14:textId="77777777" w:rsidR="00E92F62" w:rsidRPr="008A1A2A" w:rsidRDefault="00E92F62" w:rsidP="002817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RECEITAS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AAC0BC" w14:textId="77777777" w:rsidR="00E92F62" w:rsidRPr="008A1A2A" w:rsidRDefault="00E92F62" w:rsidP="002817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 xml:space="preserve">RECEITAS DE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0B368" w14:textId="77777777" w:rsidR="00E92F62" w:rsidRPr="008A1A2A" w:rsidRDefault="00E92F62" w:rsidP="002817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 xml:space="preserve">TOTAL </w:t>
            </w:r>
          </w:p>
        </w:tc>
      </w:tr>
      <w:tr w:rsidR="00E92F62" w:rsidRPr="008A1A2A" w14:paraId="29FE2B0D" w14:textId="77777777" w:rsidTr="00281778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418CB0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ÓRGÃOS DO ESTADO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BF1F97" w14:textId="77777777" w:rsidR="00E92F62" w:rsidRPr="008A1A2A" w:rsidRDefault="00E92F62" w:rsidP="002817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CORRENTES *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2BD406" w14:textId="77777777" w:rsidR="00E92F62" w:rsidRPr="008A1A2A" w:rsidRDefault="00E92F62" w:rsidP="002817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CAPITAL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71C0CC" w14:textId="77777777" w:rsidR="00E92F62" w:rsidRPr="008A1A2A" w:rsidRDefault="00E92F62" w:rsidP="002817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RECEITAS</w:t>
            </w:r>
          </w:p>
        </w:tc>
      </w:tr>
      <w:tr w:rsidR="00E92F62" w:rsidRPr="008A1A2A" w14:paraId="134FF618" w14:textId="77777777" w:rsidTr="00281778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5C81" w14:textId="77777777" w:rsidR="00E92F62" w:rsidRPr="008A1A2A" w:rsidRDefault="00E92F62" w:rsidP="002817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7EFA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2CEA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DCA9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E92F62" w:rsidRPr="008A1A2A" w14:paraId="507ACE6E" w14:textId="77777777" w:rsidTr="00281778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C11E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ADMINSTRAÇÃO DIRETA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AA44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74.424.171.659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AAAC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2.898.574.165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7C9F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77.322.745.824 </w:t>
            </w:r>
          </w:p>
        </w:tc>
      </w:tr>
      <w:tr w:rsidR="00E92F62" w:rsidRPr="008A1A2A" w14:paraId="5EFF8890" w14:textId="77777777" w:rsidTr="00281778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36AB" w14:textId="77777777" w:rsidR="00E92F62" w:rsidRPr="008A1A2A" w:rsidRDefault="00E92F62" w:rsidP="00281778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TCLM - Transferências aos municípios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F664" w14:textId="77777777" w:rsidR="00E92F62" w:rsidRPr="008A1A2A" w:rsidRDefault="00E92F62" w:rsidP="002817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-14.653.491.405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43FB" w14:textId="77777777" w:rsidR="00E92F62" w:rsidRPr="008A1A2A" w:rsidRDefault="00E92F62" w:rsidP="002817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AC01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-    14.653.491.405 </w:t>
            </w:r>
          </w:p>
        </w:tc>
      </w:tr>
      <w:tr w:rsidR="00E92F62" w:rsidRPr="008A1A2A" w14:paraId="385940B5" w14:textId="77777777" w:rsidTr="00281778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F33A" w14:textId="77777777" w:rsidR="00E92F62" w:rsidRPr="008A1A2A" w:rsidRDefault="00E92F62" w:rsidP="00281778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FUNDEB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B5A9" w14:textId="77777777" w:rsidR="00E92F62" w:rsidRPr="008A1A2A" w:rsidRDefault="00E92F62" w:rsidP="002817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-8.782.925.578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FA13" w14:textId="77777777" w:rsidR="00E92F62" w:rsidRPr="008A1A2A" w:rsidRDefault="00E92F62" w:rsidP="0028177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7109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-       8.782.925.578 </w:t>
            </w:r>
          </w:p>
        </w:tc>
      </w:tr>
      <w:tr w:rsidR="00E92F62" w:rsidRPr="008A1A2A" w14:paraId="054AF642" w14:textId="77777777" w:rsidTr="00281778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42CF" w14:textId="77777777" w:rsidR="00E92F62" w:rsidRPr="008A1A2A" w:rsidRDefault="00E92F62" w:rsidP="00281778">
            <w:pPr>
              <w:spacing w:after="0" w:line="240" w:lineRule="auto"/>
              <w:ind w:firstLineChars="300" w:firstLine="602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SEM AS TCLM E FUNDEB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DDFC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50.987.754.676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DDC4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A482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50.987.754.676 </w:t>
            </w:r>
          </w:p>
        </w:tc>
      </w:tr>
      <w:tr w:rsidR="00E92F62" w:rsidRPr="008A1A2A" w14:paraId="4E5B0CA5" w14:textId="77777777" w:rsidTr="00281778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EC2A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AUTARQUIAS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4D9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26.343.495.661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9E83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     3.468.926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CDB8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26.346.964.587 </w:t>
            </w:r>
          </w:p>
        </w:tc>
      </w:tr>
      <w:tr w:rsidR="00E92F62" w:rsidRPr="008A1A2A" w14:paraId="43D9035E" w14:textId="77777777" w:rsidTr="00281778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F900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FUNDAÇÕES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2D6C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    114.787.350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5976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  130.773,00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B373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    114.918.123 </w:t>
            </w:r>
          </w:p>
        </w:tc>
      </w:tr>
      <w:tr w:rsidR="00E92F62" w:rsidRPr="008A1A2A" w14:paraId="612567F5" w14:textId="77777777" w:rsidTr="00281778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2F6A6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TOTAL RECEITAS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D45C7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 xml:space="preserve">      77.446.037.687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AA65A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 xml:space="preserve">    2.902.173.864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CBA56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 xml:space="preserve">      80.348.211.551 </w:t>
            </w:r>
          </w:p>
        </w:tc>
      </w:tr>
      <w:tr w:rsidR="00E92F62" w:rsidRPr="008A1A2A" w14:paraId="1B24C647" w14:textId="77777777" w:rsidTr="00281778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FF5D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DÉFICIT ORÇAMENTÁRIO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7911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3267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8038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2.686.091.224 </w:t>
            </w:r>
          </w:p>
        </w:tc>
      </w:tr>
      <w:tr w:rsidR="00E92F62" w:rsidRPr="008A1A2A" w14:paraId="1B4E6F91" w14:textId="77777777" w:rsidTr="0028177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D754DA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TOTAL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DF1ED7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AEEA75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6567DE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 xml:space="preserve">      83.034.302.775 </w:t>
            </w:r>
          </w:p>
        </w:tc>
      </w:tr>
      <w:tr w:rsidR="00E92F62" w:rsidRPr="008A1A2A" w14:paraId="3580C314" w14:textId="77777777" w:rsidTr="00281778">
        <w:trPr>
          <w:trHeight w:val="300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BED5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FONTE:  Projeto de lei n° 429/2023.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AAD9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(*) Contém transferências internas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2CE2" w14:textId="77777777" w:rsidR="00E92F62" w:rsidRPr="008A1A2A" w:rsidRDefault="00E92F62" w:rsidP="002817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8A1A2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17.229.808.310 </w:t>
            </w:r>
          </w:p>
        </w:tc>
      </w:tr>
    </w:tbl>
    <w:p w14:paraId="561C2FE1" w14:textId="77777777" w:rsidR="00E92F62" w:rsidRDefault="00E92F62" w:rsidP="00E92F62">
      <w:pPr>
        <w:jc w:val="both"/>
        <w:rPr>
          <w:b/>
          <w:bCs/>
        </w:rPr>
      </w:pPr>
    </w:p>
    <w:p w14:paraId="1265BA29" w14:textId="718356A2" w:rsidR="00E92F62" w:rsidRDefault="00E92F62" w:rsidP="00E92F62">
      <w:pPr>
        <w:spacing w:line="360" w:lineRule="auto"/>
        <w:contextualSpacing/>
        <w:jc w:val="both"/>
      </w:pPr>
      <w:r w:rsidRPr="00533AFA">
        <w:t xml:space="preserve">A Tabela </w:t>
      </w:r>
      <w:r w:rsidR="006E6AD2">
        <w:t>3</w:t>
      </w:r>
      <w:r w:rsidRPr="00533AFA">
        <w:t>.2 apresenta as despesa</w:t>
      </w:r>
      <w:r>
        <w:t>s</w:t>
      </w:r>
      <w:r w:rsidRPr="00533AFA">
        <w:t xml:space="preserve"> para o exercício, onde estamos contid</w:t>
      </w:r>
      <w:r>
        <w:t>o</w:t>
      </w:r>
      <w:r w:rsidRPr="00533AFA">
        <w:t>s R$ 17.228.808.310 de transferências entre órgão</w:t>
      </w:r>
      <w:r>
        <w:t>s</w:t>
      </w:r>
      <w:r w:rsidRPr="00533AFA">
        <w:t xml:space="preserve">, adiante tratadas. </w:t>
      </w:r>
    </w:p>
    <w:p w14:paraId="138A0E97" w14:textId="77777777" w:rsidR="006E6AD2" w:rsidRPr="00533AFA" w:rsidRDefault="006E6AD2" w:rsidP="00E92F62">
      <w:pPr>
        <w:spacing w:line="360" w:lineRule="auto"/>
        <w:contextualSpacing/>
        <w:jc w:val="both"/>
      </w:pPr>
    </w:p>
    <w:tbl>
      <w:tblPr>
        <w:tblW w:w="8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707"/>
        <w:gridCol w:w="1671"/>
        <w:gridCol w:w="1646"/>
        <w:gridCol w:w="1682"/>
      </w:tblGrid>
      <w:tr w:rsidR="00E92F62" w:rsidRPr="001A6971" w14:paraId="3BF981CC" w14:textId="77777777" w:rsidTr="00281778">
        <w:trPr>
          <w:trHeight w:val="300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6E31" w14:textId="40671FC4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Tabela </w:t>
            </w:r>
            <w:r w:rsidR="006E6A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.2. Proposta orçamentária para 2024 - dados globais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2997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4CE3" w14:textId="77777777" w:rsidR="00E92F62" w:rsidRPr="001A6971" w:rsidRDefault="00E92F62" w:rsidP="0028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E92F62" w:rsidRPr="001A6971" w14:paraId="72C32366" w14:textId="77777777" w:rsidTr="00281778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4713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DESPESAS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872E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E37A" w14:textId="77777777" w:rsidR="00E92F62" w:rsidRPr="001A6971" w:rsidRDefault="00E92F62" w:rsidP="0028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8B39" w14:textId="77777777" w:rsidR="00E92F62" w:rsidRPr="001A6971" w:rsidRDefault="00E92F62" w:rsidP="0028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E39F" w14:textId="77777777" w:rsidR="00E92F62" w:rsidRPr="001A6971" w:rsidRDefault="00E92F62" w:rsidP="0028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E92F62" w:rsidRPr="001A6971" w14:paraId="63233B55" w14:textId="77777777" w:rsidTr="00281778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FBB0" w14:textId="77777777" w:rsidR="00E92F62" w:rsidRPr="001A6971" w:rsidRDefault="00E92F62" w:rsidP="0028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5DAF" w14:textId="77777777" w:rsidR="00E92F62" w:rsidRPr="001A6971" w:rsidRDefault="00E92F62" w:rsidP="0028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FF1B" w14:textId="77777777" w:rsidR="00E92F62" w:rsidRPr="001A6971" w:rsidRDefault="00E92F62" w:rsidP="0028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8474" w14:textId="77777777" w:rsidR="00E92F62" w:rsidRPr="001A6971" w:rsidRDefault="00E92F62" w:rsidP="0028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2137" w14:textId="77777777" w:rsidR="00E92F62" w:rsidRPr="001A6971" w:rsidRDefault="00E92F62" w:rsidP="0028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E92F62" w:rsidRPr="001A6971" w14:paraId="23EE8025" w14:textId="77777777" w:rsidTr="00281778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A80B7C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CD8B8F" w14:textId="77777777" w:rsidR="00E92F62" w:rsidRPr="001A6971" w:rsidRDefault="00E92F62" w:rsidP="0028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DESPESAS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6FBBEC" w14:textId="77777777" w:rsidR="00E92F62" w:rsidRPr="001A6971" w:rsidRDefault="00E92F62" w:rsidP="0028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DESPESAS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8937CF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RESERVAS ORÇAM.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2EC954" w14:textId="77777777" w:rsidR="00E92F62" w:rsidRPr="001A6971" w:rsidRDefault="00E92F62" w:rsidP="0028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TOTAL </w:t>
            </w:r>
          </w:p>
        </w:tc>
      </w:tr>
      <w:tr w:rsidR="00E92F62" w:rsidRPr="001A6971" w14:paraId="25698461" w14:textId="77777777" w:rsidTr="00281778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B6E31C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ÓRGÃOS DO ESTADO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337093" w14:textId="77777777" w:rsidR="00E92F62" w:rsidRPr="001A6971" w:rsidRDefault="00E92F62" w:rsidP="0028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CORRENTES *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72BB94" w14:textId="77777777" w:rsidR="00E92F62" w:rsidRPr="001A6971" w:rsidRDefault="00E92F62" w:rsidP="0028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CAPITAL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92E021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E PREVIDENCIÁRIAS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AD10C7" w14:textId="77777777" w:rsidR="00E92F62" w:rsidRPr="001A6971" w:rsidRDefault="00E92F62" w:rsidP="00281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DESPESAS</w:t>
            </w:r>
          </w:p>
        </w:tc>
      </w:tr>
      <w:tr w:rsidR="00E92F62" w:rsidRPr="001A6971" w14:paraId="533294D5" w14:textId="77777777" w:rsidTr="00281778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3ECD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>ADMINSTRAÇÃO DIRETA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15D7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54.444.891.713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AB01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2.652.442.693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0D4C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    996.684.591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DE7A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 xml:space="preserve">     58.094.018.997 </w:t>
            </w:r>
          </w:p>
        </w:tc>
      </w:tr>
      <w:tr w:rsidR="00E92F62" w:rsidRPr="001A6971" w14:paraId="6130BA72" w14:textId="77777777" w:rsidTr="00281778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9727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>AUTARQUIAS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A2F6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22.842.587.105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9182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  283.687.587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EF69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    695.125.263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580C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 xml:space="preserve">     23.821.399.955 </w:t>
            </w:r>
          </w:p>
        </w:tc>
      </w:tr>
      <w:tr w:rsidR="00E92F62" w:rsidRPr="001A6971" w14:paraId="2E704F59" w14:textId="77777777" w:rsidTr="00281778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8B72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>FUNDAÇÕES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5AB2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 1.104.863.340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470A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14.020.483,00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2585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                        -  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45D2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1.118.883.823 </w:t>
            </w:r>
          </w:p>
        </w:tc>
      </w:tr>
      <w:tr w:rsidR="00E92F62" w:rsidRPr="001A6971" w14:paraId="64165DD7" w14:textId="77777777" w:rsidTr="00281778">
        <w:trPr>
          <w:trHeight w:val="300"/>
        </w:trPr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A0DCCE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TOTAL DESPESAS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438BA7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78.392.342.158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513DB6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2.950.150.763 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B96A39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1.691.809.854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2CF740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83.034.302.775 </w:t>
            </w:r>
          </w:p>
        </w:tc>
      </w:tr>
      <w:tr w:rsidR="00E92F62" w:rsidRPr="001A6971" w14:paraId="2D067BB1" w14:textId="77777777" w:rsidTr="00281778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A3B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FONTE:  Projeto de Lei n° 429/2023.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AD35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(*) Contém transferências internas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8095" w14:textId="77777777" w:rsidR="00E92F62" w:rsidRPr="001A6971" w:rsidRDefault="00E92F62" w:rsidP="0028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A69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17.229.808.310 </w:t>
            </w:r>
          </w:p>
        </w:tc>
      </w:tr>
    </w:tbl>
    <w:p w14:paraId="6CC40B8A" w14:textId="77777777" w:rsidR="00E92F62" w:rsidRDefault="00E92F62" w:rsidP="00E92F62">
      <w:pPr>
        <w:jc w:val="both"/>
        <w:rPr>
          <w:b/>
          <w:bCs/>
        </w:rPr>
      </w:pPr>
    </w:p>
    <w:p w14:paraId="64CD628B" w14:textId="77777777" w:rsidR="00281778" w:rsidRDefault="00281778" w:rsidP="00E92F62">
      <w:pPr>
        <w:spacing w:line="360" w:lineRule="auto"/>
        <w:contextualSpacing/>
        <w:jc w:val="both"/>
      </w:pPr>
    </w:p>
    <w:p w14:paraId="4D9A2989" w14:textId="5F308E3B" w:rsidR="00E92F62" w:rsidRPr="001A6971" w:rsidRDefault="00E92F62" w:rsidP="00E92F62">
      <w:pPr>
        <w:spacing w:line="360" w:lineRule="auto"/>
        <w:contextualSpacing/>
        <w:jc w:val="both"/>
      </w:pPr>
      <w:r w:rsidRPr="001A6971">
        <w:t xml:space="preserve">A Tabela </w:t>
      </w:r>
      <w:r w:rsidR="006E6AD2">
        <w:t>3</w:t>
      </w:r>
      <w:r w:rsidRPr="001A6971">
        <w:t>.3 contém as transferências que são duplas contagens</w:t>
      </w:r>
      <w:r>
        <w:t>, porque elas aparecem nos órgãos remetentes, como meras transferências e</w:t>
      </w:r>
      <w:r w:rsidR="00210A17">
        <w:t xml:space="preserve"> </w:t>
      </w:r>
      <w:proofErr w:type="gramStart"/>
      <w:r w:rsidR="00210A17">
        <w:t xml:space="preserve">também </w:t>
      </w:r>
      <w:r>
        <w:t xml:space="preserve"> no</w:t>
      </w:r>
      <w:proofErr w:type="gramEnd"/>
      <w:r>
        <w:t xml:space="preserve"> destino,</w:t>
      </w:r>
      <w:r w:rsidR="00210A17">
        <w:t xml:space="preserve"> onde a </w:t>
      </w:r>
      <w:r>
        <w:t xml:space="preserve"> aplicação é realizada. Se não fizermos esta exclusão, a despesa é contada duas vezes. </w:t>
      </w:r>
    </w:p>
    <w:p w14:paraId="2E385D50" w14:textId="77777777" w:rsidR="00E92F62" w:rsidRDefault="00E92F62" w:rsidP="00E92F62">
      <w:pPr>
        <w:jc w:val="both"/>
        <w:rPr>
          <w:b/>
          <w:bCs/>
        </w:rPr>
      </w:pP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4"/>
        <w:gridCol w:w="2036"/>
        <w:gridCol w:w="980"/>
      </w:tblGrid>
      <w:tr w:rsidR="00034016" w:rsidRPr="00034016" w14:paraId="2F109305" w14:textId="77777777" w:rsidTr="00034016">
        <w:trPr>
          <w:trHeight w:val="3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A92D" w14:textId="20FF9F1E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1.3. Transferências intraorçamentárias incluídas nas receitas correntes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0BB8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  <w:tr w:rsidR="00034016" w:rsidRPr="00034016" w14:paraId="75494E4A" w14:textId="77777777" w:rsidTr="00034016">
        <w:trPr>
          <w:trHeight w:val="30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065A" w14:textId="712EAB72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Duplas contagens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74E0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8878" w14:textId="77777777" w:rsidR="00034016" w:rsidRPr="00034016" w:rsidRDefault="00034016" w:rsidP="00034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034016" w:rsidRPr="00034016" w14:paraId="67DAD362" w14:textId="77777777" w:rsidTr="00034016">
        <w:trPr>
          <w:trHeight w:val="30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5FE7" w14:textId="77777777" w:rsidR="00034016" w:rsidRPr="00034016" w:rsidRDefault="00034016" w:rsidP="00034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CD7F" w14:textId="77777777" w:rsidR="00034016" w:rsidRPr="00034016" w:rsidRDefault="00034016" w:rsidP="00034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8444" w14:textId="77777777" w:rsidR="00034016" w:rsidRPr="00034016" w:rsidRDefault="00034016" w:rsidP="00034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034016" w:rsidRPr="00034016" w14:paraId="3B8376A3" w14:textId="77777777" w:rsidTr="00034016">
        <w:trPr>
          <w:trHeight w:val="300"/>
        </w:trPr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EC36A9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DESCRIÇÃO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F9C5FE" w14:textId="77777777" w:rsidR="00034016" w:rsidRPr="00034016" w:rsidRDefault="00034016" w:rsidP="0003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2D5785" w14:textId="77777777" w:rsidR="00034016" w:rsidRPr="00034016" w:rsidRDefault="00034016" w:rsidP="0003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%</w:t>
            </w:r>
          </w:p>
        </w:tc>
      </w:tr>
      <w:tr w:rsidR="00034016" w:rsidRPr="00034016" w14:paraId="07D8164C" w14:textId="77777777" w:rsidTr="00034016">
        <w:trPr>
          <w:trHeight w:val="30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2594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IPE - Saúde contribuição patronal -FAZ/RS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7ADA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   985.957.049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E01A" w14:textId="77777777" w:rsidR="00034016" w:rsidRPr="00034016" w:rsidRDefault="00034016" w:rsidP="00034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5,7%</w:t>
            </w:r>
          </w:p>
        </w:tc>
      </w:tr>
      <w:tr w:rsidR="00034016" w:rsidRPr="00034016" w14:paraId="46974404" w14:textId="77777777" w:rsidTr="00034016">
        <w:trPr>
          <w:trHeight w:val="30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14B7" w14:textId="508EB1E4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IPE - Previdência </w:t>
            </w:r>
            <w:r w:rsidR="00BD6DB0"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 contribuição</w:t>
            </w: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patronal RPPS/RS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5F50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47B1" w14:textId="77777777" w:rsidR="00034016" w:rsidRPr="00034016" w:rsidRDefault="00034016" w:rsidP="00034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0,0%</w:t>
            </w:r>
          </w:p>
        </w:tc>
      </w:tr>
      <w:tr w:rsidR="00034016" w:rsidRPr="00034016" w14:paraId="067DA1CD" w14:textId="77777777" w:rsidTr="00034016">
        <w:trPr>
          <w:trHeight w:val="30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2AE4" w14:textId="03F6B3DE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Regime de </w:t>
            </w:r>
            <w:r w:rsidR="00BD6DB0"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repartição simples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33B6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6.329.674.686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A083" w14:textId="77777777" w:rsidR="00034016" w:rsidRPr="00034016" w:rsidRDefault="00034016" w:rsidP="00034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36,7%</w:t>
            </w:r>
          </w:p>
        </w:tc>
      </w:tr>
      <w:tr w:rsidR="00034016" w:rsidRPr="00034016" w14:paraId="1E90F7DF" w14:textId="77777777" w:rsidTr="00034016">
        <w:trPr>
          <w:trHeight w:val="30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F1A4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Contribuição para cobertura do déficit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F4F2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D5FB" w14:textId="77777777" w:rsidR="00034016" w:rsidRPr="00034016" w:rsidRDefault="00034016" w:rsidP="00034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0,0%</w:t>
            </w:r>
          </w:p>
        </w:tc>
      </w:tr>
      <w:tr w:rsidR="00034016" w:rsidRPr="00034016" w14:paraId="7044A16B" w14:textId="77777777" w:rsidTr="00034016">
        <w:trPr>
          <w:trHeight w:val="30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D8E4" w14:textId="1FB3A5D6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p/ o sistema de </w:t>
            </w:r>
            <w:r w:rsidR="00BD6DB0"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repartição simples</w:t>
            </w: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RPPS/RS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631E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9.630.240.764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49E4" w14:textId="77777777" w:rsidR="00034016" w:rsidRPr="00034016" w:rsidRDefault="00034016" w:rsidP="00034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55,9%</w:t>
            </w:r>
          </w:p>
        </w:tc>
      </w:tr>
      <w:tr w:rsidR="00034016" w:rsidRPr="00034016" w14:paraId="11FD9A2B" w14:textId="77777777" w:rsidTr="00034016">
        <w:trPr>
          <w:trHeight w:val="30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6DCD" w14:textId="5EAB3033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Contribuição </w:t>
            </w:r>
            <w:r w:rsidR="00BD6DB0"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Contrib</w:t>
            </w: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. Patronal FUNDOPREV/MILITAR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028D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   170.028.271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B417" w14:textId="77777777" w:rsidR="00034016" w:rsidRPr="00034016" w:rsidRDefault="00034016" w:rsidP="00034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1,0%</w:t>
            </w:r>
          </w:p>
        </w:tc>
      </w:tr>
      <w:tr w:rsidR="00034016" w:rsidRPr="00034016" w14:paraId="14DDEF09" w14:textId="77777777" w:rsidTr="00034016">
        <w:trPr>
          <w:trHeight w:val="30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25DC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Contribuição para cobertura de déficit do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3248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A0F7" w14:textId="77777777" w:rsidR="00034016" w:rsidRPr="00034016" w:rsidRDefault="00034016" w:rsidP="00034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0,0%</w:t>
            </w:r>
          </w:p>
        </w:tc>
      </w:tr>
      <w:tr w:rsidR="00034016" w:rsidRPr="00034016" w14:paraId="1FF2DB4F" w14:textId="77777777" w:rsidTr="00034016">
        <w:trPr>
          <w:trHeight w:val="30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F4CD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FUNDOPREV E FUNDOPREV/MILITAR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2FB9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      76.699.344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781E" w14:textId="77777777" w:rsidR="00034016" w:rsidRPr="00034016" w:rsidRDefault="00034016" w:rsidP="00034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0,4%</w:t>
            </w:r>
          </w:p>
        </w:tc>
      </w:tr>
      <w:tr w:rsidR="00034016" w:rsidRPr="00034016" w14:paraId="3AF64877" w14:textId="77777777" w:rsidTr="00034016">
        <w:trPr>
          <w:trHeight w:val="300"/>
        </w:trPr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43952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Demais operações intraorçamentárias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7CD89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      37.208.196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4FD4D" w14:textId="77777777" w:rsidR="00034016" w:rsidRPr="00034016" w:rsidRDefault="00034016" w:rsidP="00034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0,2%</w:t>
            </w:r>
          </w:p>
        </w:tc>
      </w:tr>
      <w:tr w:rsidR="00034016" w:rsidRPr="00034016" w14:paraId="5DDFE91B" w14:textId="77777777" w:rsidTr="00034016">
        <w:trPr>
          <w:trHeight w:val="315"/>
        </w:trPr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6E0BD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TOTAL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86E87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17.229.808.310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50FE7" w14:textId="77777777" w:rsidR="00034016" w:rsidRPr="00034016" w:rsidRDefault="00034016" w:rsidP="00034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100%</w:t>
            </w:r>
          </w:p>
        </w:tc>
      </w:tr>
      <w:tr w:rsidR="00034016" w:rsidRPr="00034016" w14:paraId="330762D6" w14:textId="77777777" w:rsidTr="00034016">
        <w:trPr>
          <w:trHeight w:val="300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A8FE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340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FONTE: Projeto de Lei n° 429/2023.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FF99" w14:textId="77777777" w:rsidR="00034016" w:rsidRPr="00034016" w:rsidRDefault="00034016" w:rsidP="00034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7D00" w14:textId="77777777" w:rsidR="00034016" w:rsidRPr="00034016" w:rsidRDefault="00034016" w:rsidP="00034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</w:tbl>
    <w:p w14:paraId="7017DF5A" w14:textId="1E83B86C" w:rsidR="00034016" w:rsidRDefault="00034016" w:rsidP="00863D43">
      <w:pPr>
        <w:jc w:val="both"/>
        <w:rPr>
          <w:b/>
          <w:bCs/>
        </w:rPr>
      </w:pPr>
    </w:p>
    <w:p w14:paraId="5AEE535A" w14:textId="77777777" w:rsidR="0083289D" w:rsidRDefault="0083289D" w:rsidP="00863D43">
      <w:pPr>
        <w:jc w:val="both"/>
        <w:rPr>
          <w:b/>
          <w:bCs/>
        </w:rPr>
      </w:pPr>
    </w:p>
    <w:p w14:paraId="2742087A" w14:textId="418B79FD" w:rsidR="00B83E4C" w:rsidRDefault="00517C8C" w:rsidP="00D46BE8">
      <w:pPr>
        <w:pStyle w:val="PargrafodaLista"/>
        <w:numPr>
          <w:ilvl w:val="1"/>
          <w:numId w:val="4"/>
        </w:numPr>
        <w:jc w:val="both"/>
        <w:outlineLvl w:val="1"/>
        <w:rPr>
          <w:b/>
          <w:bCs/>
        </w:rPr>
      </w:pPr>
      <w:bookmarkStart w:id="7" w:name="_Toc147820438"/>
      <w:r>
        <w:rPr>
          <w:b/>
          <w:bCs/>
        </w:rPr>
        <w:t>Alguns comentários sobre a</w:t>
      </w:r>
      <w:r w:rsidR="005227A0">
        <w:rPr>
          <w:b/>
          <w:bCs/>
        </w:rPr>
        <w:t xml:space="preserve"> Proposta</w:t>
      </w:r>
      <w:bookmarkEnd w:id="7"/>
    </w:p>
    <w:p w14:paraId="67B1CAAD" w14:textId="77777777" w:rsidR="00C65C71" w:rsidRDefault="00C65C71" w:rsidP="00C65C71">
      <w:pPr>
        <w:jc w:val="both"/>
        <w:outlineLvl w:val="1"/>
        <w:rPr>
          <w:b/>
          <w:bCs/>
        </w:rPr>
      </w:pPr>
    </w:p>
    <w:p w14:paraId="3109574C" w14:textId="483361E8" w:rsidR="00DD4713" w:rsidRDefault="00DD4713" w:rsidP="00692F4D">
      <w:pPr>
        <w:pStyle w:val="Ttulo3"/>
        <w:rPr>
          <w:rFonts w:ascii="Arial" w:hAnsi="Arial" w:cs="Arial"/>
          <w:b/>
          <w:bCs/>
        </w:rPr>
      </w:pPr>
      <w:bookmarkStart w:id="8" w:name="_Toc147820439"/>
      <w:r w:rsidRPr="00692F4D">
        <w:rPr>
          <w:rFonts w:ascii="Arial" w:hAnsi="Arial" w:cs="Arial"/>
          <w:b/>
          <w:bCs/>
        </w:rPr>
        <w:t xml:space="preserve">Receitas </w:t>
      </w:r>
      <w:r w:rsidR="00692F4D">
        <w:rPr>
          <w:rFonts w:ascii="Arial" w:hAnsi="Arial" w:cs="Arial"/>
          <w:b/>
          <w:bCs/>
        </w:rPr>
        <w:t>previstas</w:t>
      </w:r>
      <w:bookmarkEnd w:id="8"/>
    </w:p>
    <w:p w14:paraId="2FA32929" w14:textId="77777777" w:rsidR="00692F4D" w:rsidRPr="00692F4D" w:rsidRDefault="00692F4D" w:rsidP="00692F4D"/>
    <w:p w14:paraId="29C8BCE4" w14:textId="77777777" w:rsidR="00C94703" w:rsidRDefault="00C65C71" w:rsidP="00C65C71">
      <w:pPr>
        <w:spacing w:line="360" w:lineRule="auto"/>
        <w:contextualSpacing/>
        <w:jc w:val="both"/>
      </w:pPr>
      <w:r w:rsidRPr="00C65C71">
        <w:t>Em relação ao orçamento de 2023, a Proposta de 2024, prevê receitas superiores na ordem de R$ 10,019,5 milhões, 14,5% nominais ou 8,7% reais.</w:t>
      </w:r>
      <w:r>
        <w:t xml:space="preserve"> </w:t>
      </w:r>
      <w:r w:rsidR="00C94703">
        <w:t xml:space="preserve">As receitas correntes estão previstas com 13,6% nominais ou 8,1% reais. </w:t>
      </w:r>
    </w:p>
    <w:p w14:paraId="03AA1A7F" w14:textId="043CCDDF" w:rsidR="00C65C71" w:rsidRDefault="00C65C71" w:rsidP="00C94703">
      <w:pPr>
        <w:spacing w:line="360" w:lineRule="auto"/>
        <w:ind w:firstLine="567"/>
        <w:contextualSpacing/>
        <w:jc w:val="both"/>
      </w:pPr>
      <w:r>
        <w:t xml:space="preserve">Para o ICMS está sendo esperado um crescimento </w:t>
      </w:r>
      <w:r w:rsidR="00C94703">
        <w:t>nominal de 10,6% e para o IPVA, 20,3% Para as receitas patrimoniais estão esperados 48,7% ou 41,5% reais de crescimento. Sem uma análise profunda, parece-nos uma previsão muito exagerada</w:t>
      </w:r>
      <w:r w:rsidR="006E3320">
        <w:t xml:space="preserve"> para alguns itens.</w:t>
      </w:r>
      <w:r w:rsidR="00210A17">
        <w:t xml:space="preserve"> No entanto, n</w:t>
      </w:r>
      <w:r w:rsidR="00A92649">
        <w:t xml:space="preserve">a </w:t>
      </w:r>
      <w:r w:rsidR="00FE28E5">
        <w:t>soma dos</w:t>
      </w:r>
      <w:r w:rsidR="0037106C">
        <w:t xml:space="preserve"> </w:t>
      </w:r>
      <w:r w:rsidR="00FE28E5">
        <w:t>itens, a</w:t>
      </w:r>
      <w:r w:rsidR="006E3320">
        <w:t xml:space="preserve"> comparação entre previsão </w:t>
      </w:r>
      <w:r w:rsidR="00A92649">
        <w:t xml:space="preserve">se </w:t>
      </w:r>
      <w:r w:rsidR="006E3320">
        <w:t>expli</w:t>
      </w:r>
      <w:r w:rsidR="00FE28E5">
        <w:t>ca</w:t>
      </w:r>
      <w:r w:rsidR="006E3320">
        <w:t xml:space="preserve"> em grande parte, </w:t>
      </w:r>
      <w:r w:rsidR="00FE28E5">
        <w:t>conforme adiante</w:t>
      </w:r>
      <w:r w:rsidR="006E3320">
        <w:t>.</w:t>
      </w:r>
      <w:r w:rsidR="00C94703">
        <w:t xml:space="preserve"> </w:t>
      </w:r>
      <w:r w:rsidR="0037106C">
        <w:t xml:space="preserve">Outro fator que </w:t>
      </w:r>
      <w:r w:rsidR="00FE28E5">
        <w:t>deve</w:t>
      </w:r>
      <w:r w:rsidR="0037106C">
        <w:t xml:space="preserve"> facilitar o atingimento das previsões é a possibilidade de o PIB ser bem maior do que o previsto</w:t>
      </w:r>
      <w:r w:rsidR="00FE28E5">
        <w:t>, já que a Proposta considerou um crescimento de apenas 1,48%</w:t>
      </w:r>
      <w:r w:rsidR="00C94703">
        <w:t xml:space="preserve"> (Tabela 3.2).</w:t>
      </w:r>
    </w:p>
    <w:p w14:paraId="15899DFF" w14:textId="164A252A" w:rsidR="004C25C6" w:rsidRDefault="004C25C6" w:rsidP="00C94703">
      <w:pPr>
        <w:spacing w:line="360" w:lineRule="auto"/>
        <w:ind w:firstLine="567"/>
        <w:contextualSpacing/>
        <w:jc w:val="both"/>
      </w:pPr>
      <w:r>
        <w:t xml:space="preserve">Comportamento semelhante é esperado das transferências correntes, com crescimento de 47,8% nominais ou 40,7% reais. A relação dos componentes das transferências, assim como das demais receitas está na Tabela 3.2. </w:t>
      </w:r>
    </w:p>
    <w:p w14:paraId="39708682" w14:textId="60E220BB" w:rsidR="00C26A8F" w:rsidRDefault="004C25C6" w:rsidP="00C26A8F">
      <w:pPr>
        <w:spacing w:line="360" w:lineRule="auto"/>
        <w:ind w:firstLine="567"/>
        <w:contextualSpacing/>
        <w:jc w:val="both"/>
      </w:pPr>
      <w:r>
        <w:t xml:space="preserve">As receitas de capital estão previstas em R$ 2.538,9 milhões ou 696,9% nominais. A causa está numa </w:t>
      </w:r>
      <w:r w:rsidRPr="00C26A8F">
        <w:rPr>
          <w:b/>
          <w:bCs/>
        </w:rPr>
        <w:t>operação de crédito na ordem de R$ 2.478,3 milhões, a ser efetuada com o BID, para</w:t>
      </w:r>
      <w:r>
        <w:t xml:space="preserve"> </w:t>
      </w:r>
      <w:r w:rsidRPr="00C26A8F">
        <w:rPr>
          <w:b/>
          <w:bCs/>
        </w:rPr>
        <w:t>pagamento dos precatórios</w:t>
      </w:r>
      <w:r w:rsidR="00C26A8F">
        <w:t xml:space="preserve">, que </w:t>
      </w:r>
      <w:r w:rsidR="00C26A8F">
        <w:lastRenderedPageBreak/>
        <w:t>estavam em R$ 16.480 milhões no final de 2022. Para pagamento de precatórios existe</w:t>
      </w:r>
      <w:r w:rsidR="00FE28E5">
        <w:t xml:space="preserve">, </w:t>
      </w:r>
      <w:r w:rsidR="002C496E">
        <w:t>ainda, uma</w:t>
      </w:r>
      <w:r w:rsidR="00C26A8F">
        <w:t xml:space="preserve"> vinculação orçamentária de </w:t>
      </w:r>
      <w:r w:rsidR="00A92649">
        <w:t>1</w:t>
      </w:r>
      <w:r w:rsidR="00C26A8F">
        <w:t xml:space="preserve">,5% da RCL. </w:t>
      </w:r>
    </w:p>
    <w:p w14:paraId="2A7C4E92" w14:textId="1FAEB67D" w:rsidR="002C496E" w:rsidRDefault="002C496E" w:rsidP="002C496E">
      <w:pPr>
        <w:spacing w:line="360" w:lineRule="auto"/>
        <w:contextualSpacing/>
        <w:jc w:val="both"/>
      </w:pPr>
    </w:p>
    <w:p w14:paraId="0C9BA4CB" w14:textId="5E411C70" w:rsidR="002C496E" w:rsidRDefault="002C496E" w:rsidP="002C496E">
      <w:pPr>
        <w:spacing w:line="360" w:lineRule="auto"/>
        <w:contextualSpacing/>
        <w:jc w:val="both"/>
      </w:pPr>
      <w:r w:rsidRPr="002C496E">
        <w:rPr>
          <w:noProof/>
        </w:rPr>
        <w:drawing>
          <wp:inline distT="0" distB="0" distL="0" distR="0" wp14:anchorId="29864BF3" wp14:editId="325F8DAD">
            <wp:extent cx="5400040" cy="4296902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9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96FDD" w14:textId="28BA9C41" w:rsidR="002C496E" w:rsidRDefault="002C496E" w:rsidP="00C26A8F">
      <w:pPr>
        <w:spacing w:line="360" w:lineRule="auto"/>
        <w:ind w:firstLine="567"/>
        <w:contextualSpacing/>
        <w:jc w:val="both"/>
      </w:pPr>
    </w:p>
    <w:p w14:paraId="2A9F9AD6" w14:textId="46002F21" w:rsidR="002C496E" w:rsidRDefault="002C496E" w:rsidP="00C26A8F">
      <w:pPr>
        <w:spacing w:line="360" w:lineRule="auto"/>
        <w:ind w:firstLine="567"/>
        <w:contextualSpacing/>
        <w:jc w:val="both"/>
      </w:pPr>
    </w:p>
    <w:p w14:paraId="101CF1F0" w14:textId="77777777" w:rsidR="002C496E" w:rsidRDefault="002C496E" w:rsidP="00C26A8F">
      <w:pPr>
        <w:spacing w:line="360" w:lineRule="auto"/>
        <w:ind w:firstLine="567"/>
        <w:contextualSpacing/>
        <w:jc w:val="both"/>
      </w:pPr>
    </w:p>
    <w:p w14:paraId="1BDC46FD" w14:textId="7576F265" w:rsidR="00C26A8F" w:rsidRDefault="00C26A8F" w:rsidP="00C26A8F">
      <w:pPr>
        <w:spacing w:line="360" w:lineRule="auto"/>
        <w:ind w:firstLine="567"/>
        <w:contextualSpacing/>
        <w:jc w:val="both"/>
      </w:pPr>
      <w:r>
        <w:t>Sem desconsiderar o direito que tem os credores por precatórios, é triste que tenhamos que aplicar recursos de operações de crédito no pagamento de nessas finalidades</w:t>
      </w:r>
      <w:r w:rsidR="00FE28E5">
        <w:t>.</w:t>
      </w:r>
      <w:r w:rsidR="007061EC">
        <w:t xml:space="preserve"> Recursos</w:t>
      </w:r>
      <w:r>
        <w:t xml:space="preserve"> </w:t>
      </w:r>
      <w:r w:rsidR="00FE28E5">
        <w:t xml:space="preserve">de operações de crédito devem usados </w:t>
      </w:r>
      <w:r w:rsidR="007061EC">
        <w:t>em investimentos</w:t>
      </w:r>
      <w:r>
        <w:t xml:space="preserve">. </w:t>
      </w:r>
    </w:p>
    <w:p w14:paraId="40BAFB49" w14:textId="77777777" w:rsidR="00C26A8F" w:rsidRDefault="00C26A8F" w:rsidP="00863D43">
      <w:pPr>
        <w:jc w:val="both"/>
        <w:rPr>
          <w:b/>
          <w:bCs/>
        </w:rPr>
      </w:pPr>
    </w:p>
    <w:p w14:paraId="1F072BB2" w14:textId="66936C9F" w:rsidR="008137F7" w:rsidRDefault="00987C41" w:rsidP="00863D43">
      <w:pPr>
        <w:jc w:val="both"/>
        <w:rPr>
          <w:b/>
          <w:bCs/>
        </w:rPr>
      </w:pPr>
      <w:r w:rsidRPr="00987C41">
        <w:rPr>
          <w:noProof/>
          <w:lang w:eastAsia="pt-BR"/>
        </w:rPr>
        <w:lastRenderedPageBreak/>
        <w:drawing>
          <wp:inline distT="0" distB="0" distL="0" distR="0" wp14:anchorId="725DB14C" wp14:editId="04AE20D6">
            <wp:extent cx="5400040" cy="5619115"/>
            <wp:effectExtent l="0" t="0" r="0" b="635"/>
            <wp:docPr id="169432578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71F2F" w14:textId="77777777" w:rsidR="008137F7" w:rsidRDefault="008137F7" w:rsidP="00863D43">
      <w:pPr>
        <w:jc w:val="both"/>
        <w:rPr>
          <w:b/>
          <w:bCs/>
        </w:rPr>
      </w:pPr>
    </w:p>
    <w:p w14:paraId="1B5C2ECA" w14:textId="14F819D2" w:rsidR="008137F7" w:rsidRDefault="00C26A8F" w:rsidP="002C496E">
      <w:pPr>
        <w:spacing w:line="360" w:lineRule="auto"/>
        <w:ind w:firstLine="567"/>
        <w:contextualSpacing/>
        <w:jc w:val="both"/>
      </w:pPr>
      <w:r w:rsidRPr="00C26A8F">
        <w:t xml:space="preserve">Devemos considerar que a previsão orçamentária do ano não será necessariamente </w:t>
      </w:r>
      <w:r w:rsidR="006E3320">
        <w:t>igual à realização.</w:t>
      </w:r>
    </w:p>
    <w:p w14:paraId="7B1A0E06" w14:textId="10FE7F0D" w:rsidR="006E3320" w:rsidRDefault="006E3320" w:rsidP="002C496E">
      <w:pPr>
        <w:spacing w:line="360" w:lineRule="auto"/>
        <w:ind w:firstLine="567"/>
        <w:contextualSpacing/>
        <w:jc w:val="both"/>
      </w:pPr>
      <w:r>
        <w:t>A Tabela 3.3 confronta a realização com a previsão para o corrente exercício, até o mês de junho</w:t>
      </w:r>
      <w:r w:rsidR="002C496E">
        <w:t>, com as</w:t>
      </w:r>
      <w:r>
        <w:t xml:space="preserve"> receitas correntes</w:t>
      </w:r>
      <w:r w:rsidR="002C496E">
        <w:t xml:space="preserve"> atingindo 55</w:t>
      </w:r>
      <w:r>
        <w:t xml:space="preserve">,4% acima da previsão. Seguindo a tendência, pode alcançar no final do exercício 10,8% de crescimento nominal, </w:t>
      </w:r>
      <w:r w:rsidR="00DD4713">
        <w:t>que explica em grande parte o grande</w:t>
      </w:r>
      <w:r>
        <w:t xml:space="preserve"> crescimento </w:t>
      </w:r>
      <w:r w:rsidR="00FE28E5">
        <w:t>da</w:t>
      </w:r>
      <w:r>
        <w:t xml:space="preserve"> receita </w:t>
      </w:r>
      <w:r w:rsidR="00FE28E5">
        <w:t xml:space="preserve">esperado </w:t>
      </w:r>
      <w:r>
        <w:t>para 2024.</w:t>
      </w:r>
    </w:p>
    <w:p w14:paraId="52DAF9BA" w14:textId="77777777" w:rsidR="006E3320" w:rsidRPr="00C26A8F" w:rsidRDefault="006E3320" w:rsidP="002C496E">
      <w:pPr>
        <w:spacing w:line="360" w:lineRule="auto"/>
        <w:ind w:firstLine="567"/>
        <w:contextualSpacing/>
        <w:jc w:val="both"/>
      </w:pPr>
    </w:p>
    <w:p w14:paraId="38BE9F43" w14:textId="77777777" w:rsidR="008137F7" w:rsidRDefault="008137F7" w:rsidP="00863D43">
      <w:pPr>
        <w:jc w:val="both"/>
        <w:rPr>
          <w:b/>
          <w:bCs/>
        </w:rPr>
      </w:pPr>
    </w:p>
    <w:p w14:paraId="6A7215A8" w14:textId="77777777" w:rsidR="000E76C4" w:rsidRDefault="000E76C4" w:rsidP="00863D43">
      <w:pPr>
        <w:jc w:val="both"/>
        <w:rPr>
          <w:b/>
          <w:bCs/>
        </w:rPr>
      </w:pPr>
    </w:p>
    <w:p w14:paraId="03310849" w14:textId="77777777" w:rsidR="00D934EE" w:rsidRDefault="00D934EE" w:rsidP="00863D43">
      <w:pPr>
        <w:jc w:val="both"/>
        <w:rPr>
          <w:b/>
          <w:bCs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729"/>
        <w:gridCol w:w="1194"/>
        <w:gridCol w:w="200"/>
        <w:gridCol w:w="200"/>
        <w:gridCol w:w="32"/>
        <w:gridCol w:w="1465"/>
      </w:tblGrid>
      <w:tr w:rsidR="00D934EE" w:rsidRPr="00D934EE" w14:paraId="5546F86A" w14:textId="77777777" w:rsidTr="00DD4713">
        <w:trPr>
          <w:gridAfter w:val="2"/>
          <w:wAfter w:w="1497" w:type="dxa"/>
          <w:trHeight w:val="300"/>
        </w:trPr>
        <w:tc>
          <w:tcPr>
            <w:tcW w:w="7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71E3" w14:textId="0C01A1C4" w:rsidR="00D934EE" w:rsidRPr="00D934EE" w:rsidRDefault="00D934EE" w:rsidP="00D934EE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pt-BR"/>
                <w14:ligatures w14:val="none"/>
              </w:rPr>
            </w:pPr>
            <w:r w:rsidRPr="00D934EE">
              <w:rPr>
                <w:rFonts w:eastAsia="Times New Roman"/>
                <w:color w:val="000000"/>
                <w:kern w:val="0"/>
                <w:szCs w:val="24"/>
                <w:lang w:eastAsia="pt-BR"/>
                <w14:ligatures w14:val="none"/>
              </w:rPr>
              <w:lastRenderedPageBreak/>
              <w:t xml:space="preserve">Tabela </w:t>
            </w:r>
            <w:r w:rsidR="006E3320">
              <w:rPr>
                <w:rFonts w:eastAsia="Times New Roman"/>
                <w:color w:val="000000"/>
                <w:kern w:val="0"/>
                <w:szCs w:val="24"/>
                <w:lang w:eastAsia="pt-BR"/>
                <w14:ligatures w14:val="none"/>
              </w:rPr>
              <w:t>3.3</w:t>
            </w:r>
            <w:r w:rsidRPr="00D934EE">
              <w:rPr>
                <w:rFonts w:eastAsia="Times New Roman"/>
                <w:color w:val="000000"/>
                <w:kern w:val="0"/>
                <w:szCs w:val="24"/>
                <w:lang w:eastAsia="pt-BR"/>
                <w14:ligatures w14:val="none"/>
              </w:rPr>
              <w:t>.  Receitas previstas e despesas fixadas para 2023 e RRE0 junho/2023</w:t>
            </w:r>
            <w:r>
              <w:rPr>
                <w:rFonts w:eastAsia="Times New Roman"/>
                <w:color w:val="000000"/>
                <w:kern w:val="0"/>
                <w:szCs w:val="24"/>
                <w:lang w:eastAsia="pt-BR"/>
                <w14:ligatures w14:val="none"/>
              </w:rPr>
              <w:t xml:space="preserve"> – Em R$ milhões.</w:t>
            </w:r>
          </w:p>
        </w:tc>
      </w:tr>
      <w:tr w:rsidR="00D934EE" w:rsidRPr="00D934EE" w14:paraId="309A04F4" w14:textId="77777777" w:rsidTr="00DD4713">
        <w:trPr>
          <w:gridAfter w:val="2"/>
          <w:wAfter w:w="1497" w:type="dxa"/>
          <w:trHeight w:val="300"/>
        </w:trPr>
        <w:tc>
          <w:tcPr>
            <w:tcW w:w="7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4EA61" w14:textId="529773A5" w:rsidR="00D934EE" w:rsidRPr="00D934EE" w:rsidRDefault="00D934EE" w:rsidP="00D934EE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pt-BR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045FC" w14:textId="77777777" w:rsidR="00D934EE" w:rsidRPr="00D934EE" w:rsidRDefault="00D934EE" w:rsidP="00D934EE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pt-BR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9979C" w14:textId="77777777" w:rsidR="00D934EE" w:rsidRPr="00D934EE" w:rsidRDefault="00D934EE" w:rsidP="00D934EE">
            <w:pPr>
              <w:spacing w:after="0" w:line="240" w:lineRule="auto"/>
              <w:rPr>
                <w:rFonts w:eastAsia="Times New Roman"/>
                <w:kern w:val="0"/>
                <w:szCs w:val="24"/>
                <w:lang w:eastAsia="pt-BR"/>
                <w14:ligatures w14:val="none"/>
              </w:rPr>
            </w:pPr>
          </w:p>
        </w:tc>
      </w:tr>
      <w:tr w:rsidR="00D934EE" w:rsidRPr="00D934EE" w14:paraId="6B9C722E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942F68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EB94E7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BC3FE1" w14:textId="77777777" w:rsidR="00D934EE" w:rsidRPr="00D934EE" w:rsidRDefault="00D934EE" w:rsidP="00D93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REALIZADO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EB6C0A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ÍNDICE</w:t>
            </w:r>
          </w:p>
        </w:tc>
      </w:tr>
      <w:tr w:rsidR="00D934EE" w:rsidRPr="00D934EE" w14:paraId="09C5B30F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D5318A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ESPECIFICAÇÃO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DA6B73" w14:textId="77777777" w:rsidR="00D934EE" w:rsidRPr="00D934EE" w:rsidRDefault="00D934EE" w:rsidP="00D93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PLOA 2022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58FF69" w14:textId="77777777" w:rsidR="00D934EE" w:rsidRPr="00D934EE" w:rsidRDefault="00D934EE" w:rsidP="00D93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ATÉ 06/2023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4B1085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REALIZ.</w:t>
            </w:r>
          </w:p>
        </w:tc>
      </w:tr>
      <w:tr w:rsidR="00D934EE" w:rsidRPr="00D934EE" w14:paraId="2E988067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F9EE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lang w:eastAsia="pt-BR"/>
                <w14:ligatures w14:val="none"/>
              </w:rPr>
              <w:t>RECEITAS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CAC5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lang w:eastAsia="pt-BR"/>
                <w14:ligatures w14:val="none"/>
              </w:rPr>
              <w:t xml:space="preserve">                 53.394,3 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C0F5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lang w:eastAsia="pt-BR"/>
                <w14:ligatures w14:val="none"/>
              </w:rPr>
              <w:t xml:space="preserve">               29.551,9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50B1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55,3%</w:t>
            </w:r>
          </w:p>
        </w:tc>
      </w:tr>
      <w:tr w:rsidR="00D934EE" w:rsidRPr="00D934EE" w14:paraId="2DFCED08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AAB0" w14:textId="77777777" w:rsidR="00D934EE" w:rsidRPr="00D934EE" w:rsidRDefault="00D934EE" w:rsidP="00D934EE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Receitas correntes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EF6A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         53.030,1 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884E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       29.388,8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E72A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55,4%</w:t>
            </w:r>
          </w:p>
        </w:tc>
      </w:tr>
      <w:tr w:rsidR="00D934EE" w:rsidRPr="00D934EE" w14:paraId="3781E7F0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1D47" w14:textId="77777777" w:rsidR="00D934EE" w:rsidRPr="00D934EE" w:rsidRDefault="00D934EE" w:rsidP="00D934EE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Receitas de capital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10AD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               364,2 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7531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             163,1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C96B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44,8%</w:t>
            </w:r>
          </w:p>
        </w:tc>
      </w:tr>
      <w:tr w:rsidR="00D934EE" w:rsidRPr="00D934EE" w14:paraId="33AFE95E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BA268" w14:textId="77777777" w:rsidR="00D934EE" w:rsidRPr="00D934EE" w:rsidRDefault="00D934EE" w:rsidP="00D934EE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Transferências intraorçamentárias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21673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                              -   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3E2C3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F3A64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 </w:t>
            </w:r>
          </w:p>
        </w:tc>
      </w:tr>
      <w:tr w:rsidR="00D934EE" w:rsidRPr="00D934EE" w14:paraId="129A1136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8938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DESPESAS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33E3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56.649,3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5FC2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27.174,8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7C94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48,0%</w:t>
            </w:r>
          </w:p>
        </w:tc>
      </w:tr>
      <w:tr w:rsidR="00D934EE" w:rsidRPr="00D934EE" w14:paraId="5DF7927E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F71F" w14:textId="34EA56F2" w:rsidR="00D934EE" w:rsidRPr="00D934EE" w:rsidRDefault="00D934EE" w:rsidP="00D934EE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 xml:space="preserve">Pessoal e encargos sociais 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2413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35.452,0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AF24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17.634,2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C16F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49,7%</w:t>
            </w:r>
          </w:p>
        </w:tc>
      </w:tr>
      <w:tr w:rsidR="00D934EE" w:rsidRPr="00D934EE" w14:paraId="490E5637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DD70" w14:textId="77777777" w:rsidR="00D934EE" w:rsidRPr="00D934EE" w:rsidRDefault="00D934EE" w:rsidP="00D934EE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Reserva orçamentária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095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1.512,0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2760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0,0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6025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0,0%</w:t>
            </w:r>
          </w:p>
        </w:tc>
      </w:tr>
      <w:tr w:rsidR="00D934EE" w:rsidRPr="00D934EE" w14:paraId="43AA0984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4F9A" w14:textId="77777777" w:rsidR="00D934EE" w:rsidRPr="00D934EE" w:rsidRDefault="00D934EE" w:rsidP="00D934EE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Outras despesas correntes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95B2" w14:textId="0CB1F3C0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15.</w:t>
            </w:r>
            <w:r w:rsidR="003D5AA7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671,7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A3D5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6.670,2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F7DF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42,5%</w:t>
            </w:r>
          </w:p>
        </w:tc>
      </w:tr>
      <w:tr w:rsidR="00D934EE" w:rsidRPr="00D934EE" w14:paraId="71E27489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EF2F" w14:textId="77777777" w:rsidR="00D934EE" w:rsidRPr="00D934EE" w:rsidRDefault="00D934EE" w:rsidP="00D934EE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Serviço da dívida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BCEF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2.231,2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F52A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1.009,5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2C03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45,2%</w:t>
            </w:r>
          </w:p>
        </w:tc>
      </w:tr>
      <w:tr w:rsidR="00D934EE" w:rsidRPr="00D934EE" w14:paraId="1B958477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98F1" w14:textId="77777777" w:rsidR="00D934EE" w:rsidRPr="00D934EE" w:rsidRDefault="00D934EE" w:rsidP="00D934EE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Investimentos sentido amplo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220E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1.752,5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3806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1.860,9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F5DB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106,2%</w:t>
            </w:r>
          </w:p>
        </w:tc>
      </w:tr>
      <w:tr w:rsidR="00D934EE" w:rsidRPr="00D934EE" w14:paraId="27F22A4E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77BA8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Resultado orçamentário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BF3E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-3.255,0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84D84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2.377,1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B04B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-73,0%</w:t>
            </w:r>
          </w:p>
        </w:tc>
      </w:tr>
      <w:tr w:rsidR="00D934EE" w:rsidRPr="00D934EE" w14:paraId="68538266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DABE2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Resultado com as intraorçamentárias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7C3C3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 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DCE55" w14:textId="77777777" w:rsidR="00D934EE" w:rsidRPr="00D934EE" w:rsidRDefault="00D934EE" w:rsidP="00D934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2.160,0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6D15916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lang w:eastAsia="pt-BR"/>
                <w14:ligatures w14:val="none"/>
              </w:rPr>
              <w:t> </w:t>
            </w:r>
          </w:p>
        </w:tc>
      </w:tr>
      <w:tr w:rsidR="00D934EE" w:rsidRPr="00D934EE" w14:paraId="3D7C41DD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61FD" w14:textId="7249EC49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FONTE: Proposta orçamentária para 2022 e RREO 06/2022.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0612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AE3E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D934EE" w:rsidRPr="00D934EE" w14:paraId="15E265F7" w14:textId="77777777" w:rsidTr="00DD4713">
        <w:tblPrEx>
          <w:jc w:val="center"/>
        </w:tblPrEx>
        <w:trPr>
          <w:trHeight w:val="300"/>
          <w:jc w:val="center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7DBF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  <w:r w:rsidRPr="00D934EE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  <w:t>NOTA: Desconsideras as transações intraorçamentárias.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E6A5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351C" w14:textId="77777777" w:rsidR="00D934EE" w:rsidRPr="00D934EE" w:rsidRDefault="00D934EE" w:rsidP="00D934EE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lang w:eastAsia="pt-BR"/>
                <w14:ligatures w14:val="none"/>
              </w:rPr>
            </w:pPr>
          </w:p>
        </w:tc>
      </w:tr>
    </w:tbl>
    <w:p w14:paraId="5252618B" w14:textId="77777777" w:rsidR="00957D99" w:rsidRDefault="00957D99" w:rsidP="00863D43">
      <w:pPr>
        <w:jc w:val="both"/>
        <w:rPr>
          <w:b/>
          <w:bCs/>
        </w:rPr>
      </w:pPr>
    </w:p>
    <w:p w14:paraId="40025259" w14:textId="48942396" w:rsidR="00957D99" w:rsidRDefault="009C4066" w:rsidP="00863D43">
      <w:pPr>
        <w:jc w:val="both"/>
        <w:rPr>
          <w:b/>
          <w:bCs/>
        </w:rPr>
      </w:pPr>
      <w:r>
        <w:rPr>
          <w:b/>
          <w:bCs/>
        </w:rPr>
        <w:t>Diferenças entre previsão orçamentária e realização</w:t>
      </w:r>
    </w:p>
    <w:p w14:paraId="2B6B3A9D" w14:textId="77777777" w:rsidR="009C4066" w:rsidRDefault="009C4066" w:rsidP="00863D43">
      <w:pPr>
        <w:jc w:val="both"/>
        <w:rPr>
          <w:b/>
          <w:bCs/>
        </w:rPr>
      </w:pPr>
    </w:p>
    <w:p w14:paraId="7BE8491A" w14:textId="6BFE58B8" w:rsidR="00957D99" w:rsidRDefault="00DD4713" w:rsidP="00DD4713">
      <w:pPr>
        <w:spacing w:line="360" w:lineRule="auto"/>
        <w:jc w:val="both"/>
      </w:pPr>
      <w:r w:rsidRPr="00DD4713">
        <w:t>Aliás</w:t>
      </w:r>
      <w:r>
        <w:rPr>
          <w:b/>
          <w:bCs/>
        </w:rPr>
        <w:t xml:space="preserve">, </w:t>
      </w:r>
      <w:r w:rsidRPr="00DD4713">
        <w:t>o histórico dos orçamentos governamentais tem apresentado um comportamento diferente ao longo dos últimos 4 anos e meio.</w:t>
      </w:r>
    </w:p>
    <w:p w14:paraId="72DE64FB" w14:textId="3312E8B6" w:rsidR="00DD4713" w:rsidRDefault="00DD4713" w:rsidP="00DD4713">
      <w:pPr>
        <w:spacing w:line="360" w:lineRule="auto"/>
        <w:jc w:val="both"/>
      </w:pPr>
      <w:r>
        <w:t xml:space="preserve">Em todos eles, conforme demonstrado na Tabela 3.4 os déficits previstos sempre foram bem menores na sua realização e até com a </w:t>
      </w:r>
      <w:r w:rsidRPr="009C4066">
        <w:rPr>
          <w:b/>
          <w:bCs/>
        </w:rPr>
        <w:t xml:space="preserve">ocorrência de </w:t>
      </w:r>
      <w:proofErr w:type="gramStart"/>
      <w:r w:rsidRPr="009C4066">
        <w:rPr>
          <w:b/>
          <w:bCs/>
        </w:rPr>
        <w:t>superávits</w:t>
      </w:r>
      <w:r w:rsidR="00FE28E5">
        <w:rPr>
          <w:b/>
          <w:bCs/>
        </w:rPr>
        <w:t xml:space="preserve">, </w:t>
      </w:r>
      <w:r>
        <w:t xml:space="preserve"> na</w:t>
      </w:r>
      <w:proofErr w:type="gramEnd"/>
      <w:r>
        <w:t xml:space="preserve"> maioria dos anos. </w:t>
      </w:r>
      <w:r w:rsidR="00FE28E5">
        <w:t xml:space="preserve">Em 2023, até agosto, já há uma diferença de R$ 10.094 milhões na realização sobre a previsão. </w:t>
      </w:r>
    </w:p>
    <w:p w14:paraId="313CC721" w14:textId="608176BD" w:rsidR="00957D99" w:rsidRPr="00957D99" w:rsidRDefault="00957D99" w:rsidP="00957D99">
      <w:pPr>
        <w:jc w:val="center"/>
        <w:rPr>
          <w:szCs w:val="24"/>
        </w:rPr>
      </w:pPr>
      <w:r>
        <w:rPr>
          <w:szCs w:val="24"/>
        </w:rPr>
        <w:t xml:space="preserve">Tabela </w:t>
      </w:r>
      <w:r w:rsidR="00DD4713">
        <w:rPr>
          <w:szCs w:val="24"/>
        </w:rPr>
        <w:t>3.4</w:t>
      </w:r>
      <w:r>
        <w:rPr>
          <w:szCs w:val="24"/>
        </w:rPr>
        <w:t xml:space="preserve">. </w:t>
      </w:r>
      <w:r w:rsidRPr="00957D99">
        <w:rPr>
          <w:szCs w:val="24"/>
        </w:rPr>
        <w:t>Diferença entre o orçamento e a respectiva execução</w:t>
      </w:r>
    </w:p>
    <w:p w14:paraId="1B0280FD" w14:textId="293CA3AC" w:rsidR="00957D99" w:rsidRPr="00957D99" w:rsidRDefault="00957D99" w:rsidP="00957D99">
      <w:pPr>
        <w:jc w:val="center"/>
      </w:pPr>
      <w:r w:rsidRPr="00957D99">
        <w:t>Período: 2019-2022 – Valores em RS milhões.</w:t>
      </w:r>
    </w:p>
    <w:tbl>
      <w:tblPr>
        <w:tblW w:w="6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0"/>
        <w:gridCol w:w="1380"/>
        <w:gridCol w:w="1420"/>
        <w:gridCol w:w="1100"/>
      </w:tblGrid>
      <w:tr w:rsidR="009F7D5D" w:rsidRPr="009F7D5D" w14:paraId="433E7872" w14:textId="77777777" w:rsidTr="009F7D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940" w14:textId="77777777" w:rsidR="009F7D5D" w:rsidRPr="009F7D5D" w:rsidRDefault="009F7D5D" w:rsidP="009F7D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DFCB" w14:textId="77777777" w:rsidR="009F7D5D" w:rsidRPr="009F7D5D" w:rsidRDefault="009F7D5D" w:rsidP="009F7D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25D2" w14:textId="77777777" w:rsidR="009F7D5D" w:rsidRPr="009F7D5D" w:rsidRDefault="009F7D5D" w:rsidP="009F7D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B02D" w14:textId="77777777" w:rsidR="009F7D5D" w:rsidRPr="009F7D5D" w:rsidRDefault="009F7D5D" w:rsidP="009F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milhões.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5B61" w14:textId="77777777" w:rsidR="009F7D5D" w:rsidRPr="009F7D5D" w:rsidRDefault="009F7D5D" w:rsidP="009F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  <w:tr w:rsidR="009F7D5D" w:rsidRPr="009F7D5D" w14:paraId="7E57B739" w14:textId="77777777" w:rsidTr="009F7D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9F8FF2" w14:textId="77777777" w:rsidR="009F7D5D" w:rsidRPr="009F7D5D" w:rsidRDefault="009F7D5D" w:rsidP="009F7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5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620B48" w14:textId="77777777" w:rsidR="009F7D5D" w:rsidRPr="009F7D5D" w:rsidRDefault="009F7D5D" w:rsidP="009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RESULTADO ORÇAMENTÁRIO</w:t>
            </w:r>
          </w:p>
        </w:tc>
      </w:tr>
      <w:tr w:rsidR="009F7D5D" w:rsidRPr="009F7D5D" w14:paraId="692ECCD9" w14:textId="77777777" w:rsidTr="009F7D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1CFF65" w14:textId="77777777" w:rsidR="009F7D5D" w:rsidRPr="009F7D5D" w:rsidRDefault="009F7D5D" w:rsidP="009F7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EXERC.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7E7892" w14:textId="77777777" w:rsidR="009F7D5D" w:rsidRPr="009F7D5D" w:rsidRDefault="009F7D5D" w:rsidP="009F7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ORÇAMENTO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E43955" w14:textId="77777777" w:rsidR="009F7D5D" w:rsidRPr="009F7D5D" w:rsidRDefault="009F7D5D" w:rsidP="009F7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EXECUÇÃO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781F82" w14:textId="77777777" w:rsidR="009F7D5D" w:rsidRPr="009F7D5D" w:rsidRDefault="009F7D5D" w:rsidP="009F7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DIFERENÇA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5DAFD2" w14:textId="77777777" w:rsidR="009F7D5D" w:rsidRPr="009F7D5D" w:rsidRDefault="009F7D5D" w:rsidP="009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DIF.%</w:t>
            </w:r>
          </w:p>
        </w:tc>
      </w:tr>
      <w:tr w:rsidR="009F7D5D" w:rsidRPr="009F7D5D" w14:paraId="1B74066D" w14:textId="77777777" w:rsidTr="009F7D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9E90" w14:textId="77777777" w:rsidR="009F7D5D" w:rsidRPr="009F7D5D" w:rsidRDefault="009F7D5D" w:rsidP="009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CC36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-7.391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FB8C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-3.432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1216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3.959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A2DF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-53,6%</w:t>
            </w:r>
          </w:p>
        </w:tc>
      </w:tr>
      <w:tr w:rsidR="009F7D5D" w:rsidRPr="009F7D5D" w14:paraId="129D4CF7" w14:textId="77777777" w:rsidTr="009F7D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4D07" w14:textId="77777777" w:rsidR="009F7D5D" w:rsidRPr="009F7D5D" w:rsidRDefault="009F7D5D" w:rsidP="009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DFAE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-5.278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03C2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-597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F289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4.681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2911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-88,7%</w:t>
            </w:r>
          </w:p>
        </w:tc>
      </w:tr>
      <w:tr w:rsidR="009F7D5D" w:rsidRPr="009F7D5D" w14:paraId="7354FF85" w14:textId="77777777" w:rsidTr="009F7D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66C3" w14:textId="77777777" w:rsidR="009F7D5D" w:rsidRPr="009F7D5D" w:rsidRDefault="009F7D5D" w:rsidP="009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282C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-8.192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F7F3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2.546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0890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10.738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2359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-131,1%</w:t>
            </w:r>
          </w:p>
        </w:tc>
      </w:tr>
      <w:tr w:rsidR="009F7D5D" w:rsidRPr="009F7D5D" w14:paraId="5CC6251C" w14:textId="77777777" w:rsidTr="009F7D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8AA1" w14:textId="77777777" w:rsidR="009F7D5D" w:rsidRPr="009F7D5D" w:rsidRDefault="009F7D5D" w:rsidP="009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F8F6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-3.169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D13B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3.340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926F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6.509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8989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-205,4%</w:t>
            </w:r>
          </w:p>
        </w:tc>
      </w:tr>
      <w:tr w:rsidR="009F7D5D" w:rsidRPr="009F7D5D" w14:paraId="7BF88A63" w14:textId="77777777" w:rsidTr="009F7D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A82EE" w14:textId="77777777" w:rsidR="009F7D5D" w:rsidRPr="009F7D5D" w:rsidRDefault="009F7D5D" w:rsidP="009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2023*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DC38C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-3.755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39897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6.339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1C4AD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10.094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3094B" w14:textId="77777777" w:rsidR="009F7D5D" w:rsidRPr="009F7D5D" w:rsidRDefault="009F7D5D" w:rsidP="009F7D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-268,8%</w:t>
            </w:r>
          </w:p>
        </w:tc>
      </w:tr>
      <w:tr w:rsidR="009F7D5D" w:rsidRPr="009F7D5D" w14:paraId="60399885" w14:textId="77777777" w:rsidTr="009F7D5D">
        <w:trPr>
          <w:trHeight w:val="300"/>
          <w:jc w:val="center"/>
        </w:trPr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F9D2" w14:textId="77777777" w:rsidR="009F7D5D" w:rsidRPr="009F7D5D" w:rsidRDefault="009F7D5D" w:rsidP="009F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FONTE: Propostas orçamentárias e RREOs - Bal. Orçamentário</w:t>
            </w:r>
          </w:p>
        </w:tc>
      </w:tr>
      <w:tr w:rsidR="009F7D5D" w:rsidRPr="009F7D5D" w14:paraId="52BEFACA" w14:textId="77777777" w:rsidTr="009F7D5D">
        <w:trPr>
          <w:trHeight w:val="300"/>
          <w:jc w:val="center"/>
        </w:trPr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1F1A" w14:textId="355DA952" w:rsidR="009F7D5D" w:rsidRPr="009F7D5D" w:rsidRDefault="009F7D5D" w:rsidP="009F7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* RRE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  <w:r w:rsidRPr="009F7D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agosto/23: Resultado orçamentário pela despesa liquidada.</w:t>
            </w:r>
          </w:p>
        </w:tc>
      </w:tr>
    </w:tbl>
    <w:p w14:paraId="2C4FA975" w14:textId="0B98F174" w:rsidR="00BD6DB0" w:rsidRDefault="00BD6DB0" w:rsidP="009C4066">
      <w:pPr>
        <w:spacing w:line="360" w:lineRule="auto"/>
        <w:jc w:val="both"/>
      </w:pPr>
      <w:r>
        <w:lastRenderedPageBreak/>
        <w:t xml:space="preserve">A maioria dos casos é decorrente de privatizações cuja ocorrência não constava das propostas orçamentárias. Mas não é só isso, porque ser fosse os resultados primários realizados seriam semelhantes à previsão, já que eles não incluem as receitas de alienação de bens, </w:t>
      </w:r>
    </w:p>
    <w:p w14:paraId="53BF9677" w14:textId="27246F98" w:rsidR="008137F7" w:rsidRPr="009C4066" w:rsidRDefault="009F7D5D" w:rsidP="009C4066">
      <w:pPr>
        <w:spacing w:line="360" w:lineRule="auto"/>
        <w:jc w:val="both"/>
      </w:pPr>
      <w:r w:rsidRPr="009C4066">
        <w:t xml:space="preserve">O </w:t>
      </w:r>
      <w:r w:rsidRPr="00FE28E5">
        <w:rPr>
          <w:b/>
          <w:bCs/>
        </w:rPr>
        <w:t>Resultado primário</w:t>
      </w:r>
      <w:r w:rsidR="00BD6DB0">
        <w:t xml:space="preserve"> de 2023, por </w:t>
      </w:r>
      <w:proofErr w:type="gramStart"/>
      <w:r w:rsidR="00BD6DB0">
        <w:t xml:space="preserve">exemplo, </w:t>
      </w:r>
      <w:r w:rsidR="00FE28E5">
        <w:t xml:space="preserve"> apresenta</w:t>
      </w:r>
      <w:proofErr w:type="gramEnd"/>
      <w:r w:rsidR="00FE28E5">
        <w:t xml:space="preserve"> uma previsão deficitária</w:t>
      </w:r>
      <w:r w:rsidR="00BD6DB0">
        <w:t xml:space="preserve"> </w:t>
      </w:r>
      <w:r w:rsidR="00FE28E5">
        <w:t>de</w:t>
      </w:r>
      <w:r w:rsidR="009C4066">
        <w:t xml:space="preserve"> </w:t>
      </w:r>
      <w:r w:rsidR="009C4066" w:rsidRPr="009C4066">
        <w:t xml:space="preserve">  R$ 2.250 milhões</w:t>
      </w:r>
      <w:r w:rsidR="009C4066">
        <w:t xml:space="preserve"> e, no entanto, até </w:t>
      </w:r>
      <w:r w:rsidR="009E3BEB">
        <w:t>agosto, está</w:t>
      </w:r>
      <w:r w:rsidR="009C4066">
        <w:t xml:space="preserve"> com uma realização</w:t>
      </w:r>
      <w:r w:rsidR="00BD6DB0">
        <w:t xml:space="preserve"> positiva</w:t>
      </w:r>
      <w:r w:rsidR="009C4066">
        <w:t xml:space="preserve"> de R$ 3.274,5 milhões, numa diferença de R$ 5.524,5 milhões. </w:t>
      </w:r>
    </w:p>
    <w:p w14:paraId="200F2093" w14:textId="77777777" w:rsidR="008137F7" w:rsidRDefault="008137F7" w:rsidP="00863D43">
      <w:pPr>
        <w:jc w:val="both"/>
        <w:rPr>
          <w:b/>
          <w:bCs/>
        </w:rPr>
      </w:pPr>
    </w:p>
    <w:p w14:paraId="596607AE" w14:textId="401C8756" w:rsidR="008137F7" w:rsidRPr="00692F4D" w:rsidRDefault="00DD4713" w:rsidP="00692F4D">
      <w:pPr>
        <w:pStyle w:val="Ttulo3"/>
        <w:rPr>
          <w:rFonts w:ascii="Arial" w:hAnsi="Arial" w:cs="Arial"/>
          <w:b/>
          <w:bCs/>
        </w:rPr>
      </w:pPr>
      <w:bookmarkStart w:id="9" w:name="_Toc147820440"/>
      <w:r w:rsidRPr="00692F4D">
        <w:rPr>
          <w:rFonts w:ascii="Arial" w:hAnsi="Arial" w:cs="Arial"/>
          <w:b/>
          <w:bCs/>
        </w:rPr>
        <w:t xml:space="preserve">Despesas </w:t>
      </w:r>
      <w:r w:rsidR="00692F4D">
        <w:rPr>
          <w:rFonts w:ascii="Arial" w:hAnsi="Arial" w:cs="Arial"/>
          <w:b/>
          <w:bCs/>
        </w:rPr>
        <w:t>fixadas</w:t>
      </w:r>
      <w:bookmarkEnd w:id="9"/>
      <w:r w:rsidR="00692F4D">
        <w:rPr>
          <w:rFonts w:ascii="Arial" w:hAnsi="Arial" w:cs="Arial"/>
          <w:b/>
          <w:bCs/>
        </w:rPr>
        <w:t xml:space="preserve"> </w:t>
      </w:r>
    </w:p>
    <w:p w14:paraId="7EB05D85" w14:textId="77777777" w:rsidR="009E4339" w:rsidRDefault="009E4339" w:rsidP="00863D43">
      <w:pPr>
        <w:jc w:val="both"/>
        <w:rPr>
          <w:b/>
          <w:bCs/>
        </w:rPr>
      </w:pPr>
    </w:p>
    <w:p w14:paraId="0BD9CC22" w14:textId="7F989385" w:rsidR="00066947" w:rsidRDefault="00066947" w:rsidP="00066947">
      <w:pPr>
        <w:spacing w:line="360" w:lineRule="auto"/>
        <w:contextualSpacing/>
        <w:jc w:val="both"/>
      </w:pPr>
      <w:r>
        <w:t xml:space="preserve">As despesas, sem as transferências </w:t>
      </w:r>
      <w:r w:rsidR="00FE28E5">
        <w:t xml:space="preserve">intraorçamentárias e também as </w:t>
      </w:r>
      <w:r w:rsidR="0083289D">
        <w:t>orçamentárias, aos</w:t>
      </w:r>
      <w:r>
        <w:t xml:space="preserve"> municípios e ao Fundeb foram fixadas em R$ 65.804,5 milhões, com um crescimento nominal de 15,1% sobre o exercício anterior e real de 9,6%</w:t>
      </w:r>
      <w:r w:rsidR="00CA05C2">
        <w:t xml:space="preserve"> (Tabela 3.5)</w:t>
      </w:r>
      <w:r>
        <w:t xml:space="preserve">. </w:t>
      </w:r>
    </w:p>
    <w:p w14:paraId="5971AC9A" w14:textId="3C1CB8CE" w:rsidR="00066947" w:rsidRDefault="00066947" w:rsidP="00066947">
      <w:pPr>
        <w:spacing w:line="360" w:lineRule="auto"/>
        <w:ind w:firstLine="709"/>
        <w:contextualSpacing/>
        <w:jc w:val="both"/>
      </w:pPr>
      <w:r>
        <w:t>A maior dotação é para pessoal, com 8,5% de crescimento nominal e 3,3% reais. Quando se</w:t>
      </w:r>
      <w:r w:rsidR="001078C1">
        <w:t xml:space="preserve"> desconsidera os precatórios judiciais previstos, na ordem de R$ 2.041,3, ou 5,76%, o crescimento nominal da despesa </w:t>
      </w:r>
      <w:r w:rsidR="00B768A7">
        <w:t xml:space="preserve">com pessoal </w:t>
      </w:r>
      <w:r w:rsidR="001078C1">
        <w:t xml:space="preserve">baixa para 2,7 ou -2% reais. </w:t>
      </w:r>
    </w:p>
    <w:p w14:paraId="375E39CE" w14:textId="5A78F18B" w:rsidR="00066947" w:rsidRDefault="00066947" w:rsidP="00066947">
      <w:pPr>
        <w:spacing w:line="360" w:lineRule="auto"/>
        <w:ind w:firstLine="709"/>
        <w:contextualSpacing/>
        <w:jc w:val="both"/>
      </w:pPr>
      <w:r>
        <w:t>A grande expansão ocorre com as outras despesas correntes (ODC), na ordem de R$ 4.</w:t>
      </w:r>
      <w:r w:rsidR="00E37795">
        <w:t>783</w:t>
      </w:r>
      <w:r>
        <w:t>,</w:t>
      </w:r>
      <w:r w:rsidR="00E37795">
        <w:t>4</w:t>
      </w:r>
      <w:r>
        <w:t xml:space="preserve"> milhões, 30,</w:t>
      </w:r>
      <w:r w:rsidR="00E37795">
        <w:t>5</w:t>
      </w:r>
      <w:r>
        <w:t>% nominais ou 24,</w:t>
      </w:r>
      <w:r w:rsidR="00E37795">
        <w:t>2</w:t>
      </w:r>
      <w:r>
        <w:t>% reais</w:t>
      </w:r>
      <w:r w:rsidR="00CA05C2">
        <w:t xml:space="preserve">, tratadas adiante. </w:t>
      </w:r>
      <w:r>
        <w:t xml:space="preserve"> </w:t>
      </w:r>
    </w:p>
    <w:p w14:paraId="2B40149F" w14:textId="7BFFC15A" w:rsidR="00066947" w:rsidRDefault="00066947" w:rsidP="00066947">
      <w:pPr>
        <w:spacing w:line="360" w:lineRule="auto"/>
        <w:ind w:firstLine="709"/>
        <w:contextualSpacing/>
        <w:jc w:val="both"/>
      </w:pPr>
      <w:r>
        <w:t xml:space="preserve">Deve ser considerado, ainda, que </w:t>
      </w:r>
      <w:r w:rsidR="003D5AA7">
        <w:t>essa dotação teve um grau de realização até junho de 2023, de 42,5% (85% no ano), o que torna</w:t>
      </w:r>
      <w:r w:rsidR="00E37795">
        <w:t xml:space="preserve"> a base de comparação menor, </w:t>
      </w:r>
      <w:r w:rsidR="00B768A7">
        <w:t xml:space="preserve">o que faz com </w:t>
      </w:r>
      <w:r w:rsidR="009E3BEB">
        <w:t>que crescimento</w:t>
      </w:r>
      <w:r w:rsidR="003D5AA7">
        <w:t xml:space="preserve"> potencial para 2024</w:t>
      </w:r>
      <w:r w:rsidR="00B768A7">
        <w:t xml:space="preserve"> seja maior</w:t>
      </w:r>
      <w:r w:rsidR="00CA05C2">
        <w:t xml:space="preserve">. </w:t>
      </w:r>
    </w:p>
    <w:p w14:paraId="25E26E17" w14:textId="77777777" w:rsidR="009C48E5" w:rsidRDefault="009C48E5" w:rsidP="00066947">
      <w:pPr>
        <w:spacing w:line="360" w:lineRule="auto"/>
        <w:ind w:firstLine="709"/>
        <w:contextualSpacing/>
        <w:jc w:val="both"/>
      </w:pPr>
    </w:p>
    <w:p w14:paraId="046A8BEB" w14:textId="3CE7A681" w:rsidR="00CA05C2" w:rsidRDefault="00CA05C2" w:rsidP="00066947">
      <w:pPr>
        <w:spacing w:line="360" w:lineRule="auto"/>
        <w:ind w:firstLine="709"/>
        <w:contextualSpacing/>
        <w:jc w:val="both"/>
      </w:pPr>
      <w:r>
        <w:t xml:space="preserve">O serviço da dívida deverá crescer R$ 952,3, milhões, 42,7% nominais ou 35,8% reais, crescimento esse derivado das condições acordadas no RRF, que aumenta 1/9 as prestações até 2030. Sofre os efeitos </w:t>
      </w:r>
      <w:r w:rsidR="00B768A7">
        <w:t xml:space="preserve">também </w:t>
      </w:r>
      <w:r>
        <w:t xml:space="preserve">dos critérios de reajuste que precisam ser modificados. </w:t>
      </w:r>
    </w:p>
    <w:p w14:paraId="561BA054" w14:textId="77777777" w:rsidR="009E4339" w:rsidRDefault="009E4339" w:rsidP="00863D43">
      <w:pPr>
        <w:jc w:val="both"/>
        <w:rPr>
          <w:b/>
          <w:bCs/>
        </w:rPr>
      </w:pPr>
    </w:p>
    <w:p w14:paraId="63FCB38B" w14:textId="77777777" w:rsidR="009C48E5" w:rsidRDefault="009C48E5" w:rsidP="00863D43">
      <w:pPr>
        <w:jc w:val="both"/>
        <w:rPr>
          <w:b/>
          <w:bCs/>
        </w:rPr>
      </w:pPr>
    </w:p>
    <w:p w14:paraId="1A007922" w14:textId="77777777" w:rsidR="009C48E5" w:rsidRDefault="009C48E5" w:rsidP="00863D43">
      <w:pPr>
        <w:jc w:val="both"/>
        <w:rPr>
          <w:b/>
          <w:bCs/>
        </w:rPr>
      </w:pPr>
    </w:p>
    <w:p w14:paraId="5F375696" w14:textId="77777777" w:rsidR="009E4339" w:rsidRPr="009E4339" w:rsidRDefault="009E4339" w:rsidP="009E4339">
      <w:pPr>
        <w:spacing w:after="0" w:line="240" w:lineRule="auto"/>
        <w:jc w:val="both"/>
        <w:rPr>
          <w:rFonts w:eastAsia="Times New Roman"/>
          <w:color w:val="000000"/>
          <w:kern w:val="0"/>
          <w:szCs w:val="24"/>
          <w:lang w:eastAsia="pt-BR"/>
          <w14:ligatures w14:val="none"/>
        </w:rPr>
      </w:pPr>
      <w:r w:rsidRPr="009E4339">
        <w:rPr>
          <w:rFonts w:eastAsia="Times New Roman"/>
          <w:color w:val="000000"/>
          <w:kern w:val="0"/>
          <w:szCs w:val="24"/>
          <w:lang w:eastAsia="pt-BR"/>
          <w14:ligatures w14:val="none"/>
        </w:rPr>
        <w:lastRenderedPageBreak/>
        <w:t>Tabela 3.5. Despesas fixadas na PLOA 2023 e PLOA 2024</w:t>
      </w:r>
    </w:p>
    <w:p w14:paraId="57BCE7F7" w14:textId="252B75A9" w:rsidR="009E4339" w:rsidRPr="009E4339" w:rsidRDefault="009E4339" w:rsidP="00863D43">
      <w:pPr>
        <w:jc w:val="both"/>
        <w:rPr>
          <w:szCs w:val="24"/>
        </w:rPr>
      </w:pPr>
      <w:r w:rsidRPr="009E4339">
        <w:rPr>
          <w:szCs w:val="24"/>
        </w:rPr>
        <w:t xml:space="preserve">Em R$ milhões 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220"/>
        <w:gridCol w:w="1300"/>
        <w:gridCol w:w="1168"/>
        <w:gridCol w:w="732"/>
        <w:gridCol w:w="1080"/>
      </w:tblGrid>
      <w:tr w:rsidR="00A81BFA" w:rsidRPr="00A81BFA" w14:paraId="16C6CDD9" w14:textId="77777777" w:rsidTr="00A81BF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D43B37" w14:textId="77777777" w:rsidR="00A81BFA" w:rsidRPr="00A81BFA" w:rsidRDefault="00A81BFA" w:rsidP="00A8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F08314" w14:textId="77777777" w:rsidR="00A81BFA" w:rsidRPr="00A81BFA" w:rsidRDefault="00A81BFA" w:rsidP="00A8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13E6E" w14:textId="77777777" w:rsidR="00A81BFA" w:rsidRPr="00A81BFA" w:rsidRDefault="00A81BFA" w:rsidP="00A8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24C339" w14:textId="77777777" w:rsidR="00A81BFA" w:rsidRPr="00A81BFA" w:rsidRDefault="00A81BFA" w:rsidP="00A81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Variação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624391" w14:textId="77777777" w:rsidR="00A81BFA" w:rsidRPr="00A81BFA" w:rsidRDefault="00A81BFA" w:rsidP="00A81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A81BF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Cresc.real</w:t>
            </w:r>
            <w:proofErr w:type="spellEnd"/>
          </w:p>
        </w:tc>
      </w:tr>
      <w:tr w:rsidR="00A81BFA" w:rsidRPr="00A81BFA" w14:paraId="64AFBDAF" w14:textId="77777777" w:rsidTr="00A81BF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D3ABD6" w14:textId="77777777" w:rsidR="00A81BFA" w:rsidRPr="00A81BFA" w:rsidRDefault="00A81BFA" w:rsidP="00A81B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DESPESAS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741ED0" w14:textId="77777777" w:rsidR="00A81BFA" w:rsidRPr="00A81BFA" w:rsidRDefault="00A81BFA" w:rsidP="00A81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PLOA 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CEE4E2" w14:textId="77777777" w:rsidR="00A81BFA" w:rsidRPr="00A81BFA" w:rsidRDefault="00A81BFA" w:rsidP="00A81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PLOA 2024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2F8B58" w14:textId="77777777" w:rsidR="00A81BFA" w:rsidRPr="00A81BFA" w:rsidRDefault="00A81BFA" w:rsidP="00A81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Valores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016F42" w14:textId="77777777" w:rsidR="00A81BFA" w:rsidRPr="00A81BFA" w:rsidRDefault="00A81BFA" w:rsidP="00A81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Em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160AF9" w14:textId="77777777" w:rsidR="00A81BFA" w:rsidRPr="00A81BFA" w:rsidRDefault="00A81BFA" w:rsidP="00A81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5,06%</w:t>
            </w:r>
          </w:p>
        </w:tc>
      </w:tr>
      <w:tr w:rsidR="00A81BFA" w:rsidRPr="00A81BFA" w14:paraId="0176ABA4" w14:textId="77777777" w:rsidTr="00A81BF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CA80" w14:textId="77777777" w:rsidR="00A81BFA" w:rsidRPr="00A81BFA" w:rsidRDefault="00A81BFA" w:rsidP="00A81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67DF" w14:textId="77777777" w:rsidR="00A81BFA" w:rsidRPr="00A81BFA" w:rsidRDefault="00A81BFA" w:rsidP="00A81B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818C" w14:textId="77777777" w:rsidR="00A81BFA" w:rsidRPr="00A81BFA" w:rsidRDefault="00A81BFA" w:rsidP="00A81B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9FCA" w14:textId="77777777" w:rsidR="00A81BFA" w:rsidRPr="00A81BFA" w:rsidRDefault="00A81BFA" w:rsidP="00A81B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F09C" w14:textId="77777777" w:rsidR="00A81BFA" w:rsidRPr="00A81BFA" w:rsidRDefault="00A81BFA" w:rsidP="00A81B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5D8C" w14:textId="77777777" w:rsidR="00A81BFA" w:rsidRPr="00A81BFA" w:rsidRDefault="00A81BFA" w:rsidP="00A81B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A81BFA" w:rsidRPr="00A81BFA" w14:paraId="1759B53F" w14:textId="77777777" w:rsidTr="00A81BF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55A5" w14:textId="77777777" w:rsidR="00A81BFA" w:rsidRPr="00A81BFA" w:rsidRDefault="00A81BFA" w:rsidP="00A81BF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Pessoal e encargos sociais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7515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35.452,0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7946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38.463,0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59AF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3.011,0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4D96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8,5%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6A7B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3,3%</w:t>
            </w:r>
          </w:p>
        </w:tc>
      </w:tr>
      <w:tr w:rsidR="00A81BFA" w:rsidRPr="00A81BFA" w14:paraId="5BAFB820" w14:textId="77777777" w:rsidTr="00A81BF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ED14" w14:textId="77777777" w:rsidR="00A81BFA" w:rsidRPr="00A81BFA" w:rsidRDefault="00A81BFA" w:rsidP="00A81BF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Reserva orçamentária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0523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2.012,6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E6A1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1.691,8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A34E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-320,8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A1B4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-15,9%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6356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-20,0%</w:t>
            </w:r>
          </w:p>
        </w:tc>
      </w:tr>
      <w:tr w:rsidR="00A81BFA" w:rsidRPr="00A81BFA" w14:paraId="5D14FB74" w14:textId="77777777" w:rsidTr="00A81BF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9450" w14:textId="77777777" w:rsidR="00A81BFA" w:rsidRPr="00A81BFA" w:rsidRDefault="00A81BFA" w:rsidP="00A81BF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Outras despesas correntes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C876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15.701,6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130A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20.485,0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14A4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4.783,4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9F49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9258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24,2%</w:t>
            </w:r>
          </w:p>
        </w:tc>
      </w:tr>
      <w:tr w:rsidR="00A81BFA" w:rsidRPr="00A81BFA" w14:paraId="1DF0DA08" w14:textId="77777777" w:rsidTr="00A81BF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87E8" w14:textId="77777777" w:rsidR="00A81BFA" w:rsidRPr="00A81BFA" w:rsidRDefault="00A81BFA" w:rsidP="00A81BF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Serviço da dívida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EEF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2.231,2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84BE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3.183,5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58C4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952,3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5F33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42,7%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F514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35,8%</w:t>
            </w:r>
          </w:p>
        </w:tc>
      </w:tr>
      <w:tr w:rsidR="00A81BFA" w:rsidRPr="00A81BFA" w14:paraId="3ABD09E7" w14:textId="77777777" w:rsidTr="00A81BF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92F9C" w14:textId="77777777" w:rsidR="00A81BFA" w:rsidRPr="00A81BFA" w:rsidRDefault="00A81BFA" w:rsidP="00A81BF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Investimentos sentido amplo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4512E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1.752,5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B45ED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1.981,2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66472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850F7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6EE9F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7,6%</w:t>
            </w:r>
          </w:p>
        </w:tc>
      </w:tr>
      <w:tr w:rsidR="00A81BFA" w:rsidRPr="00A81BFA" w14:paraId="670BDD83" w14:textId="77777777" w:rsidTr="00A81BF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A8FB" w14:textId="77777777" w:rsidR="00A81BFA" w:rsidRPr="00A81BFA" w:rsidRDefault="00A81BFA" w:rsidP="00A81BF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524A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57.149,9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C80F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65.804,5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D152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8.654,6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29E0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15,1%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7694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9,6%</w:t>
            </w:r>
          </w:p>
        </w:tc>
      </w:tr>
      <w:tr w:rsidR="00A81BFA" w:rsidRPr="00A81BFA" w14:paraId="6FA7E46C" w14:textId="77777777" w:rsidTr="00A81BFA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DCAF2" w14:textId="77777777" w:rsidR="00A81BFA" w:rsidRPr="00A81BFA" w:rsidRDefault="00A81BFA" w:rsidP="00A81BF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Pessoal mais reserva orçamentária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9661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37.465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8F9BB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 40.155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14364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2.690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31F9B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7,2%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053B3" w14:textId="77777777" w:rsidR="00A81BFA" w:rsidRPr="00A81BFA" w:rsidRDefault="00A81BFA" w:rsidP="007D5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2,0%</w:t>
            </w:r>
          </w:p>
        </w:tc>
      </w:tr>
      <w:tr w:rsidR="00A81BFA" w:rsidRPr="00A81BFA" w14:paraId="5DCA340E" w14:textId="77777777" w:rsidTr="00A81BFA">
        <w:trPr>
          <w:trHeight w:val="300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00BE" w14:textId="135004CC" w:rsidR="00A81BFA" w:rsidRPr="00A81BFA" w:rsidRDefault="00A81BFA" w:rsidP="00A8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FONTE: Proposta orçamentária para 202</w:t>
            </w:r>
            <w:r w:rsidR="00E012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</w:t>
            </w:r>
            <w:r w:rsidR="00E012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–</w:t>
            </w: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Mensagem</w:t>
            </w:r>
            <w:r w:rsidR="00E012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, p.19</w:t>
            </w:r>
            <w:r w:rsidRPr="00A81B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3618" w14:textId="77777777" w:rsidR="00A81BFA" w:rsidRPr="00A81BFA" w:rsidRDefault="00A81BFA" w:rsidP="00A8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EB9F" w14:textId="77777777" w:rsidR="00A81BFA" w:rsidRPr="00A81BFA" w:rsidRDefault="00A81BFA" w:rsidP="00A81B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EF61" w14:textId="77777777" w:rsidR="00A81BFA" w:rsidRPr="00A81BFA" w:rsidRDefault="00A81BFA" w:rsidP="00A81B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</w:tbl>
    <w:p w14:paraId="0398816D" w14:textId="3B12CC25" w:rsidR="00A81BFA" w:rsidRPr="00B768A7" w:rsidRDefault="001078C1" w:rsidP="001068E5">
      <w:pPr>
        <w:rPr>
          <w:rFonts w:asciiTheme="minorHAnsi" w:hAnsiTheme="minorHAnsi" w:cstheme="minorHAnsi"/>
          <w:sz w:val="22"/>
          <w:szCs w:val="22"/>
        </w:rPr>
      </w:pPr>
      <w:r w:rsidRPr="00B768A7">
        <w:rPr>
          <w:rFonts w:asciiTheme="minorHAnsi" w:hAnsiTheme="minorHAnsi" w:cstheme="minorHAnsi"/>
          <w:sz w:val="22"/>
          <w:szCs w:val="22"/>
        </w:rPr>
        <w:t>Nota: Precatórios judiciais previstos R$ 2041,3 milhões, ou 5,76%</w:t>
      </w:r>
      <w:r w:rsidR="00B768A7">
        <w:rPr>
          <w:rFonts w:asciiTheme="minorHAnsi" w:hAnsiTheme="minorHAnsi" w:cstheme="minorHAnsi"/>
          <w:sz w:val="22"/>
          <w:szCs w:val="22"/>
        </w:rPr>
        <w:t xml:space="preserve"> da dotação do ano anterior.</w:t>
      </w:r>
    </w:p>
    <w:p w14:paraId="1B6079AF" w14:textId="77777777" w:rsidR="00A81BFA" w:rsidRPr="001078C1" w:rsidRDefault="00A81BFA" w:rsidP="00CA05C2">
      <w:pPr>
        <w:pStyle w:val="Ttulo3"/>
        <w:rPr>
          <w:rFonts w:ascii="Arial" w:hAnsi="Arial" w:cs="Arial"/>
        </w:rPr>
      </w:pPr>
    </w:p>
    <w:p w14:paraId="701F3A83" w14:textId="77777777" w:rsidR="00A81BFA" w:rsidRDefault="00A81BFA" w:rsidP="00A81BFA"/>
    <w:p w14:paraId="77D49BA6" w14:textId="725754E3" w:rsidR="00692F4D" w:rsidRDefault="00CA05C2" w:rsidP="00CA05C2">
      <w:pPr>
        <w:pStyle w:val="Ttulo3"/>
        <w:rPr>
          <w:rFonts w:ascii="Arial" w:hAnsi="Arial" w:cs="Arial"/>
          <w:b/>
          <w:bCs/>
        </w:rPr>
      </w:pPr>
      <w:bookmarkStart w:id="10" w:name="_Toc147820441"/>
      <w:r w:rsidRPr="00CA05C2">
        <w:rPr>
          <w:rFonts w:ascii="Arial" w:hAnsi="Arial" w:cs="Arial"/>
          <w:b/>
          <w:bCs/>
        </w:rPr>
        <w:t>Outras despesas correntes (ODC)</w:t>
      </w:r>
      <w:bookmarkEnd w:id="10"/>
    </w:p>
    <w:p w14:paraId="7D7335E6" w14:textId="77777777" w:rsidR="00C27BE6" w:rsidRDefault="00C27BE6" w:rsidP="00C27BE6"/>
    <w:p w14:paraId="163021E4" w14:textId="77777777" w:rsidR="00AA0424" w:rsidRDefault="00C27BE6" w:rsidP="00AA0424">
      <w:pPr>
        <w:spacing w:line="360" w:lineRule="auto"/>
        <w:contextualSpacing/>
      </w:pPr>
      <w:r>
        <w:t>Diante do grande crescimento das ODC, de 36,8% nominais</w:t>
      </w:r>
      <w:r w:rsidR="00AA0424">
        <w:t xml:space="preserve"> e 30,2% reais, em</w:t>
      </w:r>
      <w:r>
        <w:t xml:space="preserve"> relação ao orçamento do ano anterior</w:t>
      </w:r>
      <w:r w:rsidR="00AA0424">
        <w:t xml:space="preserve">, construímos as tabelas 3.6 e 3.7, com as dotações de ODC nas secretarias e órgãos. </w:t>
      </w:r>
    </w:p>
    <w:p w14:paraId="5194EB67" w14:textId="1C3DC4B6" w:rsidR="009C48E5" w:rsidRDefault="00A67223" w:rsidP="00AA0424">
      <w:pPr>
        <w:spacing w:line="360" w:lineRule="auto"/>
        <w:contextualSpacing/>
      </w:pPr>
      <w:r>
        <w:t>,</w:t>
      </w:r>
    </w:p>
    <w:p w14:paraId="0F6A7F2D" w14:textId="7893E690" w:rsidR="00C27BE6" w:rsidRDefault="00AA0424" w:rsidP="00AA0424">
      <w:pPr>
        <w:spacing w:line="360" w:lineRule="auto"/>
        <w:ind w:firstLine="567"/>
        <w:contextualSpacing/>
      </w:pPr>
      <w:r>
        <w:t xml:space="preserve">Na Administração </w:t>
      </w:r>
      <w:r w:rsidR="00A67223">
        <w:t>Direta, as</w:t>
      </w:r>
      <w:r>
        <w:t xml:space="preserve"> ODC estão fixadas com um crescimento de 41,8% nominais ou 35% reais sobre o ano anterior. Os maiores crescimentos estão nos Encargos Gerais do Estado (adiante especificado); na Secretaria de Segurança (+73,8%) e Educação (+62,6%), conforme constante da tabela. </w:t>
      </w:r>
    </w:p>
    <w:p w14:paraId="43A9C2A3" w14:textId="77777777" w:rsidR="00AA0424" w:rsidRDefault="007D511D" w:rsidP="00C27BE6">
      <w:pPr>
        <w:spacing w:line="360" w:lineRule="auto"/>
      </w:pPr>
      <w:r>
        <w:t xml:space="preserve">Tabela 3.6. </w:t>
      </w:r>
    </w:p>
    <w:p w14:paraId="7E399FA4" w14:textId="77777777" w:rsidR="009C48E5" w:rsidRDefault="009C48E5" w:rsidP="00C27BE6">
      <w:pPr>
        <w:spacing w:line="360" w:lineRule="auto"/>
      </w:pPr>
    </w:p>
    <w:p w14:paraId="52A5C401" w14:textId="77777777" w:rsidR="009C48E5" w:rsidRDefault="009C48E5" w:rsidP="00C27BE6">
      <w:pPr>
        <w:spacing w:line="360" w:lineRule="auto"/>
      </w:pPr>
    </w:p>
    <w:p w14:paraId="61A23E4A" w14:textId="77777777" w:rsidR="009C48E5" w:rsidRDefault="009C48E5" w:rsidP="00C27BE6">
      <w:pPr>
        <w:spacing w:line="360" w:lineRule="auto"/>
      </w:pPr>
    </w:p>
    <w:p w14:paraId="35A2E65A" w14:textId="77777777" w:rsidR="009C48E5" w:rsidRDefault="009C48E5" w:rsidP="00C27BE6">
      <w:pPr>
        <w:spacing w:line="360" w:lineRule="auto"/>
      </w:pPr>
    </w:p>
    <w:p w14:paraId="532EBB5A" w14:textId="77777777" w:rsidR="009C48E5" w:rsidRDefault="009C48E5" w:rsidP="00C27BE6">
      <w:pPr>
        <w:spacing w:line="360" w:lineRule="auto"/>
      </w:pPr>
    </w:p>
    <w:p w14:paraId="16625C0E" w14:textId="77777777" w:rsidR="009C48E5" w:rsidRDefault="009C48E5" w:rsidP="00C27BE6">
      <w:pPr>
        <w:spacing w:line="360" w:lineRule="auto"/>
      </w:pPr>
    </w:p>
    <w:p w14:paraId="237F2F29" w14:textId="789D3AA9" w:rsidR="007D511D" w:rsidRDefault="00F91B7D" w:rsidP="00C27BE6">
      <w:pPr>
        <w:spacing w:line="360" w:lineRule="auto"/>
      </w:pPr>
      <w:r>
        <w:lastRenderedPageBreak/>
        <w:t xml:space="preserve">Tabela 3.6. </w:t>
      </w:r>
      <w:r w:rsidR="007D511D">
        <w:t xml:space="preserve">Dotações em ODC por secretarias e </w:t>
      </w:r>
      <w:r w:rsidR="00AA0424">
        <w:t>órgãos</w:t>
      </w:r>
    </w:p>
    <w:p w14:paraId="50D67CF8" w14:textId="17D72412" w:rsidR="00D934EE" w:rsidRDefault="007D511D" w:rsidP="00863D43">
      <w:pPr>
        <w:jc w:val="both"/>
        <w:rPr>
          <w:b/>
          <w:bCs/>
        </w:rPr>
      </w:pPr>
      <w:r w:rsidRPr="007D511D">
        <w:rPr>
          <w:noProof/>
          <w:lang w:eastAsia="pt-BR"/>
        </w:rPr>
        <w:drawing>
          <wp:inline distT="0" distB="0" distL="0" distR="0" wp14:anchorId="6280F3A2" wp14:editId="69345614">
            <wp:extent cx="4838700" cy="5153025"/>
            <wp:effectExtent l="0" t="0" r="0" b="9525"/>
            <wp:docPr id="94283269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5AAEB" w14:textId="77777777" w:rsidR="007D511D" w:rsidRDefault="007D511D" w:rsidP="00863D43">
      <w:pPr>
        <w:jc w:val="both"/>
        <w:rPr>
          <w:b/>
          <w:bCs/>
        </w:rPr>
      </w:pPr>
    </w:p>
    <w:p w14:paraId="10129488" w14:textId="5E40CD6C" w:rsidR="007D511D" w:rsidRPr="00AA0424" w:rsidRDefault="00AA0424" w:rsidP="003762FC">
      <w:pPr>
        <w:spacing w:line="360" w:lineRule="auto"/>
        <w:ind w:firstLine="567"/>
        <w:contextualSpacing/>
        <w:jc w:val="both"/>
      </w:pPr>
      <w:r w:rsidRPr="00AA0424">
        <w:t>Nas Autarquias o crescimento foi de 23,6% nominais ou 17,6% reais</w:t>
      </w:r>
      <w:r>
        <w:t xml:space="preserve"> e nas Fundações, mais 31,7% e 25,3%, respectivamente.</w:t>
      </w:r>
    </w:p>
    <w:p w14:paraId="214464EE" w14:textId="55C2CC1A" w:rsidR="007D511D" w:rsidRDefault="003762FC" w:rsidP="003762FC">
      <w:pPr>
        <w:spacing w:line="360" w:lineRule="auto"/>
        <w:ind w:firstLine="567"/>
        <w:jc w:val="both"/>
      </w:pPr>
      <w:r>
        <w:t xml:space="preserve">A </w:t>
      </w:r>
      <w:r w:rsidRPr="003762FC">
        <w:t>Tabela 3.7</w:t>
      </w:r>
      <w:r>
        <w:t xml:space="preserve"> traz as dotações </w:t>
      </w:r>
      <w:proofErr w:type="gramStart"/>
      <w:r>
        <w:t>de  ODC</w:t>
      </w:r>
      <w:proofErr w:type="gramEnd"/>
      <w:r>
        <w:t xml:space="preserve"> dos Encargos Gerais do Estado,  num total de R$ 2.758,7 milhões, de cujo valor,  R$ 1.534,3 milhões ou 55,6% destinam-se a </w:t>
      </w:r>
      <w:r w:rsidRPr="003762FC">
        <w:rPr>
          <w:b/>
          <w:bCs/>
        </w:rPr>
        <w:t>precatórios judiciais</w:t>
      </w:r>
      <w:r>
        <w:rPr>
          <w:b/>
          <w:bCs/>
        </w:rPr>
        <w:t xml:space="preserve">. </w:t>
      </w:r>
      <w:r w:rsidRPr="003762FC">
        <w:t xml:space="preserve">Outra grande destinação, R$ 654 milhões ou 23,7% são </w:t>
      </w:r>
      <w:r>
        <w:t>canalizados</w:t>
      </w:r>
      <w:r w:rsidRPr="003762FC">
        <w:t xml:space="preserve"> aos encargos dos depósitos judiciais</w:t>
      </w:r>
      <w:r w:rsidR="00B92443">
        <w:t>.</w:t>
      </w:r>
    </w:p>
    <w:p w14:paraId="4A0C2F0D" w14:textId="48A2C532" w:rsidR="00B92443" w:rsidRDefault="00B92443" w:rsidP="003762FC">
      <w:pPr>
        <w:spacing w:line="360" w:lineRule="auto"/>
        <w:ind w:firstLine="567"/>
        <w:jc w:val="both"/>
      </w:pPr>
      <w:r>
        <w:t xml:space="preserve">A propósito, um fator positivo no período 2019-2022 foi a </w:t>
      </w:r>
      <w:r w:rsidRPr="00B92443">
        <w:rPr>
          <w:b/>
          <w:bCs/>
        </w:rPr>
        <w:t>redução de R$</w:t>
      </w:r>
      <w:r>
        <w:t xml:space="preserve"> </w:t>
      </w:r>
      <w:r w:rsidRPr="00B92443">
        <w:rPr>
          <w:b/>
          <w:bCs/>
        </w:rPr>
        <w:t>6.493 milhões nos saques do caixa único</w:t>
      </w:r>
      <w:r w:rsidRPr="00B92443">
        <w:t xml:space="preserve"> e de</w:t>
      </w:r>
      <w:r>
        <w:t xml:space="preserve"> </w:t>
      </w:r>
      <w:r w:rsidRPr="00B92443">
        <w:rPr>
          <w:b/>
          <w:bCs/>
        </w:rPr>
        <w:t>R$ 168 milhões</w:t>
      </w:r>
      <w:r>
        <w:t xml:space="preserve"> </w:t>
      </w:r>
      <w:r w:rsidRPr="00B92443">
        <w:rPr>
          <w:b/>
          <w:bCs/>
        </w:rPr>
        <w:t>nos depósitos judiciais</w:t>
      </w:r>
      <w:r>
        <w:t xml:space="preserve">, invertendo uma tendência de altos saques no período governamentais precedentes. O período 2019-2022, no entanto, foi favorecido pelo não foi pagamento da dívida e pela ocorrência de várias privatizações. </w:t>
      </w:r>
    </w:p>
    <w:p w14:paraId="20168AFB" w14:textId="4650A85D" w:rsidR="003762FC" w:rsidRPr="003762FC" w:rsidRDefault="003762FC" w:rsidP="003762FC">
      <w:pPr>
        <w:spacing w:line="360" w:lineRule="auto"/>
        <w:ind w:firstLine="567"/>
        <w:jc w:val="both"/>
      </w:pPr>
      <w:r>
        <w:lastRenderedPageBreak/>
        <w:t>Conforme já visto, estão previstos R$ 2.58</w:t>
      </w:r>
      <w:r w:rsidR="0034205E">
        <w:t>0</w:t>
      </w:r>
      <w:r>
        <w:t xml:space="preserve">,3 milhões de operações, cuja origem foi um empréstimo junto ao </w:t>
      </w:r>
      <w:r w:rsidR="00E37795">
        <w:t>BID, para</w:t>
      </w:r>
      <w:r>
        <w:t xml:space="preserve"> aplicar integralmente em precatórios judiciais. </w:t>
      </w:r>
      <w:r w:rsidR="0034205E">
        <w:t>Como R$ 1534,3 estão nos Encargos Gerais do Estado</w:t>
      </w:r>
      <w:r w:rsidR="00B92443">
        <w:t xml:space="preserve">. O valor total de precatórios deve se aproximar de R$ 3.500 milhões, com a aplicação de 1,5% da RCL que vinculado a essa finalidade.  </w:t>
      </w:r>
    </w:p>
    <w:p w14:paraId="0B9284E9" w14:textId="0C67C73F" w:rsidR="007D511D" w:rsidRPr="007D511D" w:rsidRDefault="007D511D" w:rsidP="003762FC">
      <w:pPr>
        <w:jc w:val="center"/>
      </w:pPr>
      <w:r w:rsidRPr="007D511D">
        <w:t>Tabela 3.7. Dotações em ODC nos Encargos Gerais do Estado</w:t>
      </w:r>
    </w:p>
    <w:p w14:paraId="4D631D7F" w14:textId="4DD30B8D" w:rsidR="007D511D" w:rsidRDefault="007D511D" w:rsidP="003762FC">
      <w:pPr>
        <w:jc w:val="center"/>
        <w:rPr>
          <w:b/>
          <w:bCs/>
        </w:rPr>
      </w:pPr>
      <w:r w:rsidRPr="007D511D">
        <w:rPr>
          <w:noProof/>
          <w:lang w:eastAsia="pt-BR"/>
        </w:rPr>
        <w:drawing>
          <wp:inline distT="0" distB="0" distL="0" distR="0" wp14:anchorId="25AE3273" wp14:editId="26E582AE">
            <wp:extent cx="4162425" cy="3819525"/>
            <wp:effectExtent l="0" t="0" r="9525" b="9525"/>
            <wp:docPr id="6490314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25C3" w14:textId="77777777" w:rsidR="007D511D" w:rsidRDefault="007D511D" w:rsidP="00863D43">
      <w:pPr>
        <w:jc w:val="both"/>
        <w:rPr>
          <w:b/>
          <w:bCs/>
        </w:rPr>
      </w:pPr>
    </w:p>
    <w:p w14:paraId="53CE9D8E" w14:textId="6118B627" w:rsidR="001030E3" w:rsidRDefault="00B33590" w:rsidP="001030E3">
      <w:pPr>
        <w:spacing w:line="360" w:lineRule="auto"/>
        <w:contextualSpacing/>
        <w:rPr>
          <w:b/>
          <w:bCs/>
        </w:rPr>
      </w:pPr>
      <w:bookmarkStart w:id="11" w:name="_Toc146647326"/>
      <w:r w:rsidRPr="00B33590">
        <w:rPr>
          <w:b/>
          <w:bCs/>
        </w:rPr>
        <w:t>Diferenças entre a Mensagem e a Proposta</w:t>
      </w:r>
      <w:r w:rsidR="00032617">
        <w:rPr>
          <w:b/>
          <w:bCs/>
        </w:rPr>
        <w:t xml:space="preserve"> – Volume 1</w:t>
      </w:r>
    </w:p>
    <w:p w14:paraId="0003BFE2" w14:textId="5CEE3BB6" w:rsidR="00B33590" w:rsidRDefault="00B33590" w:rsidP="00B33590">
      <w:pPr>
        <w:pStyle w:val="PargrafodaLista"/>
        <w:numPr>
          <w:ilvl w:val="0"/>
          <w:numId w:val="5"/>
        </w:numPr>
        <w:spacing w:line="360" w:lineRule="auto"/>
      </w:pPr>
      <w:r>
        <w:t xml:space="preserve">As ODC atingem R$ 21.477 milhões na Proposta -Volume 1 e </w:t>
      </w:r>
      <w:r w:rsidR="00110924">
        <w:t>n</w:t>
      </w:r>
      <w:r>
        <w:t xml:space="preserve">a Mensagem, R$ 20.485 milhões, o que corresponde a R$ 992 milhões, a menos </w:t>
      </w:r>
      <w:r w:rsidR="00A43307">
        <w:t>nesta última</w:t>
      </w:r>
      <w:r>
        <w:t xml:space="preserve">. </w:t>
      </w:r>
    </w:p>
    <w:p w14:paraId="6C311CDF" w14:textId="625A377B" w:rsidR="00B33590" w:rsidRDefault="00B33590" w:rsidP="00B33590">
      <w:pPr>
        <w:pStyle w:val="PargrafodaLista"/>
        <w:numPr>
          <w:ilvl w:val="0"/>
          <w:numId w:val="5"/>
        </w:numPr>
        <w:spacing w:line="360" w:lineRule="auto"/>
      </w:pPr>
      <w:r>
        <w:t xml:space="preserve">Já </w:t>
      </w:r>
      <w:r w:rsidR="00A43307">
        <w:t>n</w:t>
      </w:r>
      <w:r>
        <w:t xml:space="preserve">a Mensagem </w:t>
      </w:r>
      <w:r w:rsidR="00A43307">
        <w:t xml:space="preserve">consta como reserva orçamentária </w:t>
      </w:r>
      <w:r>
        <w:t>R$ 1.691,8 milhões</w:t>
      </w:r>
      <w:r w:rsidR="00110924">
        <w:t xml:space="preserve"> </w:t>
      </w:r>
      <w:proofErr w:type="gramStart"/>
      <w:r w:rsidR="00110924">
        <w:t xml:space="preserve">e </w:t>
      </w:r>
      <w:r>
        <w:t xml:space="preserve"> </w:t>
      </w:r>
      <w:r w:rsidR="00A43307">
        <w:t>n</w:t>
      </w:r>
      <w:r>
        <w:t>o</w:t>
      </w:r>
      <w:proofErr w:type="gramEnd"/>
      <w:r>
        <w:t xml:space="preserve"> Volume 1</w:t>
      </w:r>
      <w:r w:rsidR="00110924">
        <w:t xml:space="preserve"> </w:t>
      </w:r>
      <w:r w:rsidR="00A43307">
        <w:t xml:space="preserve">da Proposta R$ </w:t>
      </w:r>
      <w:r>
        <w:t>906,3 milhões, numa diferença de R$  785,5 milhões a mais</w:t>
      </w:r>
      <w:r w:rsidR="00032617">
        <w:t>, nas reservas</w:t>
      </w:r>
      <w:r>
        <w:t xml:space="preserve">.  </w:t>
      </w:r>
    </w:p>
    <w:p w14:paraId="3897419A" w14:textId="5AA711D3" w:rsidR="00B33590" w:rsidRDefault="00B33590" w:rsidP="00B33590">
      <w:pPr>
        <w:pStyle w:val="PargrafodaLista"/>
        <w:numPr>
          <w:ilvl w:val="0"/>
          <w:numId w:val="5"/>
        </w:numPr>
        <w:spacing w:line="360" w:lineRule="auto"/>
      </w:pPr>
      <w:r>
        <w:t>A diferença entre as diferenças</w:t>
      </w:r>
      <w:r w:rsidR="00A43307">
        <w:t xml:space="preserve"> </w:t>
      </w:r>
      <w:proofErr w:type="gramStart"/>
      <w:r w:rsidR="00A43307">
        <w:t>( R</w:t>
      </w:r>
      <w:proofErr w:type="gramEnd"/>
      <w:r w:rsidR="00A43307">
        <w:t xml:space="preserve">$ 992 milhões e R$ 785,5 milhões) </w:t>
      </w:r>
      <w:r>
        <w:t>, na ordem de R$ 206,5 milhões</w:t>
      </w:r>
      <w:r w:rsidR="0069510D">
        <w:t xml:space="preserve"> decorre das dotações das reservas nas Autarquias e Fundações, já que </w:t>
      </w:r>
      <w:r w:rsidR="00110924">
        <w:t>a Proposta -</w:t>
      </w:r>
      <w:r w:rsidR="0069510D">
        <w:t xml:space="preserve"> Volume 1 </w:t>
      </w:r>
      <w:r w:rsidR="00110924">
        <w:t>destaca somente as da</w:t>
      </w:r>
      <w:r w:rsidR="0069510D">
        <w:t xml:space="preserve"> Administração Direta</w:t>
      </w:r>
      <w:r w:rsidR="00D059A8">
        <w:t>.</w:t>
      </w:r>
    </w:p>
    <w:p w14:paraId="04B05438" w14:textId="77777777" w:rsidR="00B92443" w:rsidRPr="00B33590" w:rsidRDefault="00B92443" w:rsidP="00B92443">
      <w:pPr>
        <w:pStyle w:val="PargrafodaLista"/>
        <w:spacing w:line="360" w:lineRule="auto"/>
      </w:pPr>
    </w:p>
    <w:p w14:paraId="29A77D0B" w14:textId="66BF7D3F" w:rsidR="00132508" w:rsidRPr="005F540B" w:rsidRDefault="0044345D" w:rsidP="005F540B">
      <w:pPr>
        <w:pStyle w:val="PargrafodaLista"/>
        <w:numPr>
          <w:ilvl w:val="1"/>
          <w:numId w:val="4"/>
        </w:numPr>
        <w:spacing w:line="360" w:lineRule="auto"/>
        <w:ind w:left="0" w:firstLine="0"/>
        <w:jc w:val="both"/>
        <w:outlineLvl w:val="1"/>
        <w:rPr>
          <w:b/>
          <w:bCs/>
        </w:rPr>
      </w:pPr>
      <w:bookmarkStart w:id="12" w:name="_Toc147820442"/>
      <w:r w:rsidRPr="00132508">
        <w:rPr>
          <w:b/>
          <w:bCs/>
        </w:rPr>
        <w:t>Despesas decorrentes de vinculações</w:t>
      </w:r>
      <w:bookmarkEnd w:id="11"/>
      <w:bookmarkEnd w:id="12"/>
    </w:p>
    <w:p w14:paraId="06E47B88" w14:textId="15F12523" w:rsidR="00132508" w:rsidRPr="00132508" w:rsidRDefault="00132508" w:rsidP="00132508">
      <w:pPr>
        <w:spacing w:line="360" w:lineRule="auto"/>
        <w:jc w:val="both"/>
      </w:pPr>
      <w:r w:rsidRPr="00132508">
        <w:t>A</w:t>
      </w:r>
      <w:r w:rsidR="005F540B">
        <w:t>S</w:t>
      </w:r>
      <w:r w:rsidRPr="00132508">
        <w:t xml:space="preserve"> duas principais vinculações </w:t>
      </w:r>
      <w:r>
        <w:t xml:space="preserve">da receita </w:t>
      </w:r>
      <w:r w:rsidRPr="00132508">
        <w:t>são com a Educação</w:t>
      </w:r>
      <w:r w:rsidR="00B92443">
        <w:t xml:space="preserve"> (MDE)</w:t>
      </w:r>
      <w:r w:rsidRPr="00132508">
        <w:t xml:space="preserve"> e a Saúde</w:t>
      </w:r>
      <w:r>
        <w:t>. As transferências aos municípios são destinações da receita, em</w:t>
      </w:r>
      <w:r w:rsidR="0023199B">
        <w:t xml:space="preserve"> que</w:t>
      </w:r>
      <w:r>
        <w:t xml:space="preserve"> o Estado é um mero repassador. </w:t>
      </w:r>
    </w:p>
    <w:p w14:paraId="72C7BCC2" w14:textId="71F9589E" w:rsidR="00132508" w:rsidRDefault="008558BD" w:rsidP="005F540B">
      <w:pPr>
        <w:pStyle w:val="PargrafodaLista"/>
        <w:spacing w:line="360" w:lineRule="auto"/>
        <w:ind w:left="0" w:firstLine="142"/>
        <w:jc w:val="both"/>
        <w:outlineLvl w:val="2"/>
        <w:rPr>
          <w:b/>
          <w:bCs/>
        </w:rPr>
      </w:pPr>
      <w:bookmarkStart w:id="13" w:name="_Toc147820443"/>
      <w:r>
        <w:rPr>
          <w:b/>
          <w:bCs/>
        </w:rPr>
        <w:t>3.3.1. Manutenção e Desenvolvimento do Ensino – MDE</w:t>
      </w:r>
      <w:bookmarkEnd w:id="13"/>
    </w:p>
    <w:p w14:paraId="3E8DCF35" w14:textId="6EE3F308" w:rsidR="00767BE7" w:rsidRDefault="00B807B2" w:rsidP="00767BE7">
      <w:pPr>
        <w:pStyle w:val="PargrafodaLista"/>
        <w:spacing w:line="360" w:lineRule="auto"/>
        <w:ind w:left="0"/>
        <w:jc w:val="both"/>
      </w:pPr>
      <w:r w:rsidRPr="00B807B2">
        <w:t xml:space="preserve">O governo </w:t>
      </w:r>
      <w:r>
        <w:t xml:space="preserve">ao aplicar 31,87% da RLIT </w:t>
      </w:r>
      <w:r w:rsidRPr="00B807B2">
        <w:t>em 2024</w:t>
      </w:r>
      <w:r>
        <w:t xml:space="preserve"> pretende aplicar mais que nos exercícios de 2021 (25,77%) e 2022 (27,89%). Em valores correntes, foram aplicados em 2021 R$ 11.614,8 milhões e em 202</w:t>
      </w:r>
      <w:r w:rsidR="00767BE7">
        <w:t>3</w:t>
      </w:r>
      <w:r>
        <w:t xml:space="preserve"> R$ 12.030,5 milhões. A aplicação em 2024 deverá ser 15.210,3 milhões, ou 26,4% a mais</w:t>
      </w:r>
      <w:r w:rsidR="00767BE7">
        <w:t xml:space="preserve"> (Tabela 3.</w:t>
      </w:r>
      <w:r w:rsidR="00D96A18">
        <w:t>3</w:t>
      </w:r>
      <w:r w:rsidR="00767BE7">
        <w:t>.1)</w:t>
      </w:r>
      <w:r>
        <w:t xml:space="preserve">. </w:t>
      </w:r>
    </w:p>
    <w:p w14:paraId="487EAA94" w14:textId="6BCE9E0F" w:rsidR="008558BD" w:rsidRDefault="00767BE7" w:rsidP="00767BE7">
      <w:pPr>
        <w:pStyle w:val="PargrafodaLista"/>
        <w:spacing w:line="360" w:lineRule="auto"/>
        <w:ind w:left="0" w:firstLine="567"/>
        <w:jc w:val="both"/>
      </w:pPr>
      <w:r>
        <w:t xml:space="preserve">Os investimentos deverão aumentar de R$ 116 milhões em 2023 para 515, milhões em 2024, num crescimento nominal de 344% (LOAS 2023 e 2024, Volume 1). </w:t>
      </w:r>
      <w:r w:rsidR="00B807B2">
        <w:t xml:space="preserve"> </w:t>
      </w:r>
      <w:r>
        <w:t xml:space="preserve">As ODC deverão crescer nominalmente 62,6% em 2024 sobre 2023, conforme as propostas orçamentárias, mas grande parte desse aumento dever ser para o pagamento de precatórios judiciais. </w:t>
      </w:r>
    </w:p>
    <w:p w14:paraId="735B451A" w14:textId="701A858F" w:rsidR="00D96A18" w:rsidRPr="00D96A18" w:rsidRDefault="00D96A18" w:rsidP="00767BE7">
      <w:pPr>
        <w:pStyle w:val="PargrafodaLista"/>
        <w:spacing w:line="360" w:lineRule="auto"/>
        <w:ind w:left="0" w:firstLine="567"/>
        <w:jc w:val="both"/>
        <w:rPr>
          <w:b/>
          <w:bCs/>
        </w:rPr>
      </w:pPr>
      <w:r w:rsidRPr="00D96A18">
        <w:rPr>
          <w:b/>
          <w:bCs/>
        </w:rPr>
        <w:t>Inativos e pensionistas no MDE</w:t>
      </w:r>
    </w:p>
    <w:p w14:paraId="2652FA72" w14:textId="291D00C7" w:rsidR="00EB3CB1" w:rsidRDefault="00EB3CB1" w:rsidP="00767BE7">
      <w:pPr>
        <w:pStyle w:val="PargrafodaLista"/>
        <w:spacing w:line="360" w:lineRule="auto"/>
        <w:ind w:left="0" w:firstLine="567"/>
        <w:jc w:val="both"/>
      </w:pPr>
      <w:r>
        <w:t>Deve ser salientado que a Emenda Constitucional n° 108/2020 vedou a utilização dos recursos da educação, estabelecidos no art. 212 da Constituição Federal (25% da RLIT) e outros no pagamento de inativos e pensionistas.</w:t>
      </w:r>
    </w:p>
    <w:p w14:paraId="7BD77473" w14:textId="1B8C9BBC" w:rsidR="00EB3CB1" w:rsidRDefault="00EB3CB1" w:rsidP="00767BE7">
      <w:pPr>
        <w:pStyle w:val="PargrafodaLista"/>
        <w:spacing w:line="360" w:lineRule="auto"/>
        <w:ind w:left="0" w:firstLine="567"/>
        <w:jc w:val="both"/>
      </w:pPr>
      <w:r>
        <w:t>Isso é coerente, porque o pessoal inativo e pensionista não está dedicado à educação</w:t>
      </w:r>
      <w:r w:rsidR="00107B5E">
        <w:t>, no entanto o Estado não tem as mínimas condições de cumprir esse dispositivo, uma vez que a despesa com eles corresponde a mais de 61%</w:t>
      </w:r>
      <w:r w:rsidR="004F169C">
        <w:t xml:space="preserve"> da folha da Secretaria</w:t>
      </w:r>
      <w:r w:rsidR="00107B5E">
        <w:t xml:space="preserve">. Se o Estado não usar esse recurso no MDE, com que recursos irá pagá-los? Isso </w:t>
      </w:r>
      <w:proofErr w:type="gramStart"/>
      <w:r w:rsidR="00107B5E">
        <w:t xml:space="preserve">é </w:t>
      </w:r>
      <w:r w:rsidR="00A83709">
        <w:t xml:space="preserve"> </w:t>
      </w:r>
      <w:r w:rsidR="00107B5E">
        <w:t>fruto</w:t>
      </w:r>
      <w:proofErr w:type="gramEnd"/>
      <w:r w:rsidR="00107B5E">
        <w:t xml:space="preserve"> de decisões irresponsáveis do passado que hoje cobram a conta. </w:t>
      </w:r>
    </w:p>
    <w:p w14:paraId="70250A4B" w14:textId="5F26DFB0" w:rsidR="004F169C" w:rsidRDefault="004F169C" w:rsidP="00767BE7">
      <w:pPr>
        <w:pStyle w:val="PargrafodaLista"/>
        <w:spacing w:line="360" w:lineRule="auto"/>
        <w:ind w:left="0" w:firstLine="567"/>
        <w:jc w:val="both"/>
      </w:pPr>
      <w:r>
        <w:t xml:space="preserve">Supondo que o Estado pudesse cumprir esse dispositivo </w:t>
      </w:r>
      <w:r w:rsidRPr="00D96A18">
        <w:rPr>
          <w:b/>
          <w:bCs/>
        </w:rPr>
        <w:t>mediante um grande aumento de salário.</w:t>
      </w:r>
      <w:r>
        <w:t xml:space="preserve">  Pela integralidade e paridade, com o que estão beneficiados quase todos os </w:t>
      </w:r>
      <w:r w:rsidR="00D96A18">
        <w:t xml:space="preserve">professores, </w:t>
      </w:r>
      <w:r>
        <w:t xml:space="preserve">já que ingressaram antes de dezembro de 2003, </w:t>
      </w:r>
      <w:r w:rsidR="00D96A18">
        <w:t>quando viessem se</w:t>
      </w:r>
      <w:r>
        <w:t xml:space="preserve"> </w:t>
      </w:r>
      <w:r w:rsidR="00D96A18">
        <w:t>aposentar, e</w:t>
      </w:r>
      <w:r>
        <w:t xml:space="preserve"> os atuais aposentados receberiam esse aumento. </w:t>
      </w:r>
      <w:r w:rsidR="00D96A18">
        <w:t>A Emenda ficaria pior que o soneto.</w:t>
      </w:r>
    </w:p>
    <w:p w14:paraId="627C9FEC" w14:textId="36546039" w:rsidR="00D96A18" w:rsidRPr="00B807B2" w:rsidRDefault="00D96A18" w:rsidP="00767BE7">
      <w:pPr>
        <w:pStyle w:val="PargrafodaLista"/>
        <w:spacing w:line="360" w:lineRule="auto"/>
        <w:ind w:left="0" w:firstLine="567"/>
        <w:jc w:val="both"/>
      </w:pPr>
      <w:r>
        <w:t xml:space="preserve">O Estado está assim procedendo amparado pelo Parecer n° 18.790/2021 da PGE que, por mais forçado que seja na sua interpretação da lei, é </w:t>
      </w:r>
      <w:r w:rsidR="00A83709">
        <w:t>a salvação</w:t>
      </w:r>
      <w:r>
        <w:t xml:space="preserve"> do erário. </w:t>
      </w:r>
      <w:r w:rsidR="0023199B">
        <w:t xml:space="preserve">Os que insistem no cumprimento da citada Emenda Constitucional </w:t>
      </w:r>
      <w:r w:rsidR="009126E9">
        <w:t>n</w:t>
      </w:r>
      <w:r>
        <w:t xml:space="preserve">ão </w:t>
      </w:r>
      <w:r>
        <w:lastRenderedPageBreak/>
        <w:t>entende</w:t>
      </w:r>
      <w:r w:rsidR="009126E9">
        <w:t>m</w:t>
      </w:r>
      <w:r>
        <w:t xml:space="preserve"> das finanças do Estado, ou se entende</w:t>
      </w:r>
      <w:r w:rsidR="009126E9">
        <w:t>m</w:t>
      </w:r>
      <w:r>
        <w:t>, est</w:t>
      </w:r>
      <w:r w:rsidR="009126E9">
        <w:t>ão</w:t>
      </w:r>
      <w:r>
        <w:t xml:space="preserve"> praticando o discurso fácil e inconsequente, dando vida às irresponsabilidades do passado que geraram toda essa situação. </w:t>
      </w:r>
      <w:r w:rsidR="009126E9">
        <w:t xml:space="preserve">A lei se cumpre sempre, mas precisa condições materiais. </w:t>
      </w:r>
    </w:p>
    <w:p w14:paraId="40AA2478" w14:textId="77777777" w:rsidR="00132508" w:rsidRDefault="00132508" w:rsidP="00132508">
      <w:pPr>
        <w:pStyle w:val="PargrafodaLista"/>
        <w:spacing w:line="360" w:lineRule="auto"/>
        <w:ind w:left="0" w:firstLine="142"/>
        <w:jc w:val="both"/>
        <w:rPr>
          <w:b/>
          <w:bCs/>
        </w:rPr>
      </w:pPr>
    </w:p>
    <w:p w14:paraId="03F5A4DA" w14:textId="77777777" w:rsidR="009C48E5" w:rsidRDefault="009C48E5" w:rsidP="00132508">
      <w:pPr>
        <w:pStyle w:val="PargrafodaLista"/>
        <w:spacing w:line="360" w:lineRule="auto"/>
        <w:ind w:left="0" w:firstLine="142"/>
        <w:jc w:val="both"/>
        <w:rPr>
          <w:b/>
          <w:bCs/>
        </w:rPr>
      </w:pPr>
    </w:p>
    <w:p w14:paraId="4BA43809" w14:textId="65195F97" w:rsidR="0044345D" w:rsidRDefault="00132508" w:rsidP="00132508">
      <w:pPr>
        <w:pStyle w:val="PargrafodaLista"/>
        <w:numPr>
          <w:ilvl w:val="2"/>
          <w:numId w:val="4"/>
        </w:numPr>
        <w:spacing w:line="360" w:lineRule="auto"/>
        <w:ind w:left="709"/>
        <w:jc w:val="both"/>
      </w:pPr>
      <w:r w:rsidRPr="00132508">
        <w:t>Manutenção e Desenvolvimento da Educação – MDE</w:t>
      </w: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1"/>
        <w:gridCol w:w="1771"/>
        <w:gridCol w:w="1476"/>
      </w:tblGrid>
      <w:tr w:rsidR="00132508" w:rsidRPr="00132508" w14:paraId="2AD778B5" w14:textId="77777777" w:rsidTr="00132508">
        <w:trPr>
          <w:trHeight w:val="300"/>
          <w:jc w:val="center"/>
        </w:trPr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C85EDE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Descrição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EC7112" w14:textId="77777777" w:rsidR="00132508" w:rsidRPr="00132508" w:rsidRDefault="00132508" w:rsidP="001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R$ 1.000,00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BA9448" w14:textId="77777777" w:rsidR="00132508" w:rsidRPr="00132508" w:rsidRDefault="00132508" w:rsidP="00132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%</w:t>
            </w:r>
          </w:p>
        </w:tc>
      </w:tr>
      <w:tr w:rsidR="00132508" w:rsidRPr="00132508" w14:paraId="72836A2A" w14:textId="77777777" w:rsidTr="00132508">
        <w:trPr>
          <w:trHeight w:val="300"/>
          <w:jc w:val="center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7679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RLIT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B4B5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47.733.601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58CD" w14:textId="77777777" w:rsidR="00132508" w:rsidRPr="00132508" w:rsidRDefault="00132508" w:rsidP="001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100,0%</w:t>
            </w:r>
          </w:p>
        </w:tc>
      </w:tr>
      <w:tr w:rsidR="00132508" w:rsidRPr="00132508" w14:paraId="03EB559D" w14:textId="77777777" w:rsidTr="00132508">
        <w:trPr>
          <w:trHeight w:val="300"/>
          <w:jc w:val="center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C838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Aplicações: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D10D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CF38" w14:textId="77777777" w:rsidR="00132508" w:rsidRPr="00132508" w:rsidRDefault="00132508" w:rsidP="001325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132508" w:rsidRPr="00132508" w14:paraId="2C42E727" w14:textId="77777777" w:rsidTr="00132508">
        <w:trPr>
          <w:trHeight w:val="300"/>
          <w:jc w:val="center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1956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na Secretaria da Educação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E604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12.103.587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DEFA" w14:textId="77777777" w:rsidR="00132508" w:rsidRPr="00132508" w:rsidRDefault="00132508" w:rsidP="001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25,4%</w:t>
            </w:r>
          </w:p>
        </w:tc>
      </w:tr>
      <w:tr w:rsidR="00132508" w:rsidRPr="00132508" w14:paraId="59CF884A" w14:textId="77777777" w:rsidTr="00132508">
        <w:trPr>
          <w:trHeight w:val="300"/>
          <w:jc w:val="center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7DD7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em órgão vinculado - FETLSVC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5D33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       79.158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3AEE" w14:textId="77777777" w:rsidR="00132508" w:rsidRPr="00132508" w:rsidRDefault="00132508" w:rsidP="001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0,2%</w:t>
            </w:r>
          </w:p>
        </w:tc>
      </w:tr>
      <w:tr w:rsidR="00132508" w:rsidRPr="00132508" w14:paraId="48E9AC8F" w14:textId="77777777" w:rsidTr="00132508">
        <w:trPr>
          <w:trHeight w:val="300"/>
          <w:jc w:val="center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51D5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 Conselho Estadual educação à SEDUC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0EC7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             637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BD2F" w14:textId="77777777" w:rsidR="00132508" w:rsidRPr="00132508" w:rsidRDefault="00132508" w:rsidP="001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0,0%</w:t>
            </w:r>
          </w:p>
        </w:tc>
      </w:tr>
      <w:tr w:rsidR="00132508" w:rsidRPr="00132508" w14:paraId="585266A8" w14:textId="77777777" w:rsidTr="00132508">
        <w:trPr>
          <w:trHeight w:val="300"/>
          <w:jc w:val="center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C6C9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em órgãos estaduais não vinculado à SEDUC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E8E2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    402.334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F419" w14:textId="77777777" w:rsidR="00132508" w:rsidRPr="00132508" w:rsidRDefault="00132508" w:rsidP="001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0,8%</w:t>
            </w:r>
          </w:p>
        </w:tc>
      </w:tr>
      <w:tr w:rsidR="00132508" w:rsidRPr="00132508" w14:paraId="717557A4" w14:textId="77777777" w:rsidTr="00132508">
        <w:trPr>
          <w:trHeight w:val="300"/>
          <w:jc w:val="center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135F" w14:textId="71F21FBE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Aporte do Estado ao FUNDEB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0345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 2.624.626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4D4D" w14:textId="77777777" w:rsidR="00132508" w:rsidRPr="00132508" w:rsidRDefault="00132508" w:rsidP="001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5,5%</w:t>
            </w:r>
          </w:p>
        </w:tc>
      </w:tr>
      <w:tr w:rsidR="00132508" w:rsidRPr="00132508" w14:paraId="206921F1" w14:textId="77777777" w:rsidTr="00132508">
        <w:trPr>
          <w:trHeight w:val="300"/>
          <w:jc w:val="center"/>
        </w:trPr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B01229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Aplicações em MDE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B571CF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15.210.342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DBCD8C" w14:textId="77777777" w:rsidR="00132508" w:rsidRPr="00132508" w:rsidRDefault="00132508" w:rsidP="00132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31,9%</w:t>
            </w:r>
          </w:p>
        </w:tc>
      </w:tr>
      <w:tr w:rsidR="00132508" w:rsidRPr="00132508" w14:paraId="2D87534A" w14:textId="77777777" w:rsidTr="00132508">
        <w:trPr>
          <w:trHeight w:val="300"/>
          <w:jc w:val="center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E939" w14:textId="7CFA7F88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FONTE: Proposta 2024 - Volume </w:t>
            </w:r>
            <w:r w:rsidR="00F412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  <w:r w:rsidRPr="00132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2544" w14:textId="77777777" w:rsidR="00132508" w:rsidRPr="00132508" w:rsidRDefault="00132508" w:rsidP="00132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A1C2" w14:textId="77777777" w:rsidR="00132508" w:rsidRPr="00132508" w:rsidRDefault="00132508" w:rsidP="001325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</w:tbl>
    <w:p w14:paraId="310A5538" w14:textId="77777777" w:rsidR="00EB3CB1" w:rsidRDefault="00EB3CB1" w:rsidP="00132508">
      <w:pPr>
        <w:spacing w:line="360" w:lineRule="auto"/>
        <w:jc w:val="both"/>
        <w:rPr>
          <w:b/>
          <w:bCs/>
        </w:rPr>
      </w:pPr>
    </w:p>
    <w:p w14:paraId="56D30B1C" w14:textId="25A2F4D1" w:rsidR="00132508" w:rsidRPr="005F540B" w:rsidRDefault="005F540B" w:rsidP="005F540B">
      <w:pPr>
        <w:pStyle w:val="PargrafodaLista"/>
        <w:numPr>
          <w:ilvl w:val="2"/>
          <w:numId w:val="4"/>
        </w:numPr>
        <w:spacing w:line="360" w:lineRule="auto"/>
        <w:jc w:val="both"/>
        <w:outlineLvl w:val="2"/>
        <w:rPr>
          <w:b/>
          <w:bCs/>
        </w:rPr>
      </w:pPr>
      <w:bookmarkStart w:id="14" w:name="_Toc147820444"/>
      <w:r w:rsidRPr="005F540B">
        <w:rPr>
          <w:b/>
          <w:bCs/>
        </w:rPr>
        <w:t>Aplicações em Saúde Pública - ASPS</w:t>
      </w:r>
      <w:bookmarkEnd w:id="14"/>
    </w:p>
    <w:p w14:paraId="74756C56" w14:textId="654E5CC9" w:rsidR="00D36C1C" w:rsidRDefault="00D36C1C" w:rsidP="00132508">
      <w:pPr>
        <w:spacing w:line="360" w:lineRule="auto"/>
        <w:contextualSpacing/>
        <w:jc w:val="both"/>
      </w:pPr>
      <w:r w:rsidRPr="00D36C1C">
        <w:t xml:space="preserve">As </w:t>
      </w:r>
      <w:r>
        <w:t>dotações para</w:t>
      </w:r>
      <w:r w:rsidRPr="00D36C1C">
        <w:t xml:space="preserve"> Saúde, na ordem de 12% da RLIT</w:t>
      </w:r>
      <w:r>
        <w:t xml:space="preserve">, estão em consonância com as aplicações em 2021 (12,19%) e 2022 (12,16%). </w:t>
      </w:r>
    </w:p>
    <w:p w14:paraId="6705AFCF" w14:textId="0B55148C" w:rsidR="00567C02" w:rsidRDefault="00567C02" w:rsidP="000172E6">
      <w:pPr>
        <w:spacing w:line="360" w:lineRule="auto"/>
        <w:ind w:firstLine="567"/>
        <w:contextualSpacing/>
        <w:jc w:val="both"/>
      </w:pPr>
      <w:r>
        <w:t xml:space="preserve">A lei complementar nº 141/2012 determina a aplicação de 12% da RLIT em ações e serviços de saúde pública o que aparentemente está sendo cumprido, mas exclui do conjunto das despesas passíveis dessa finalidade as contribuições que não tiverem caráter universal, como é o caso da contribuição para a assistência médica do IPERGS, embora o TCE tenha aceitado esse procedimento, sempre sem a concordância do Ministério Público de Contas. </w:t>
      </w:r>
    </w:p>
    <w:p w14:paraId="191F0EE1" w14:textId="2F3DDECB" w:rsidR="00567C02" w:rsidRDefault="00567C02" w:rsidP="000172E6">
      <w:pPr>
        <w:spacing w:line="360" w:lineRule="auto"/>
        <w:ind w:firstLine="567"/>
        <w:contextualSpacing/>
        <w:jc w:val="both"/>
      </w:pPr>
      <w:r>
        <w:t>Por convicção</w:t>
      </w:r>
      <w:r w:rsidR="009126E9">
        <w:t>,</w:t>
      </w:r>
      <w:r>
        <w:t xml:space="preserve"> sou contra a qualquer vinculação de receita, por medir realizações p</w:t>
      </w:r>
      <w:r w:rsidR="000172E6">
        <w:t>elo</w:t>
      </w:r>
      <w:r>
        <w:t xml:space="preserve"> gasto</w:t>
      </w:r>
      <w:r w:rsidR="000172E6">
        <w:t>, invertendo o conceito de produtividade, que é o inverso do custo. Além disso, é pró-cíclica. Quando a economia vai vem que as pessoas tem mais condições de buscar o atendimento privado, aí o governo é obrigado a aplicar mais em saúde, ocorrendo o contrário quando a economia vai mal.</w:t>
      </w:r>
    </w:p>
    <w:p w14:paraId="0583DBD5" w14:textId="642D3857" w:rsidR="000172E6" w:rsidRDefault="000172E6" w:rsidP="000172E6">
      <w:pPr>
        <w:spacing w:line="360" w:lineRule="auto"/>
        <w:ind w:firstLine="567"/>
        <w:contextualSpacing/>
        <w:jc w:val="both"/>
      </w:pPr>
      <w:r>
        <w:t>Além de tudo, enquanto não acabarmos com</w:t>
      </w:r>
      <w:r w:rsidR="00C4055D">
        <w:t xml:space="preserve"> as</w:t>
      </w:r>
      <w:r>
        <w:t xml:space="preserve"> vinculações da receita e com muitas indexações, não sairemos do déficit, porque a todo incremento de receita, ocorre um crescimento do gasto. É como um carro patinando, sempre </w:t>
      </w:r>
      <w:r>
        <w:lastRenderedPageBreak/>
        <w:t xml:space="preserve">no mesmo lugar. O Estado fez reformas </w:t>
      </w:r>
      <w:r w:rsidR="00C4055D">
        <w:t>para corrigir isso, na</w:t>
      </w:r>
      <w:r>
        <w:t xml:space="preserve"> previdência, </w:t>
      </w:r>
      <w:r w:rsidR="00C4055D">
        <w:t>n</w:t>
      </w:r>
      <w:r>
        <w:t>os quadros de pessoal, mas permanecem as vinculações</w:t>
      </w:r>
      <w:r w:rsidR="00C4055D">
        <w:t xml:space="preserve"> em causa, que</w:t>
      </w:r>
      <w:r>
        <w:t xml:space="preserve"> são </w:t>
      </w:r>
      <w:r w:rsidR="00C4055D">
        <w:t>determinadas pela Constituição Federal</w:t>
      </w:r>
      <w:r>
        <w:t xml:space="preserve">. </w:t>
      </w:r>
    </w:p>
    <w:p w14:paraId="090535B9" w14:textId="477756BF" w:rsidR="00C4055D" w:rsidRDefault="00C4055D" w:rsidP="000172E6">
      <w:pPr>
        <w:spacing w:line="360" w:lineRule="auto"/>
        <w:ind w:firstLine="567"/>
        <w:contextualSpacing/>
        <w:jc w:val="both"/>
      </w:pPr>
      <w:r>
        <w:t xml:space="preserve">No entanto, a legislação atual determina o cumprimento dessa vinculação. Por isso estou apontando esse fato. </w:t>
      </w:r>
    </w:p>
    <w:p w14:paraId="5A444D05" w14:textId="77777777" w:rsidR="005F540B" w:rsidRDefault="005F540B" w:rsidP="00132508">
      <w:pPr>
        <w:spacing w:line="360" w:lineRule="auto"/>
        <w:jc w:val="both"/>
        <w:rPr>
          <w:b/>
          <w:bCs/>
        </w:rPr>
      </w:pPr>
    </w:p>
    <w:p w14:paraId="316DBB2A" w14:textId="73A7ED11" w:rsidR="005F540B" w:rsidRPr="005F540B" w:rsidRDefault="005F540B" w:rsidP="00C4055D">
      <w:pPr>
        <w:spacing w:line="360" w:lineRule="auto"/>
        <w:jc w:val="center"/>
      </w:pPr>
      <w:r w:rsidRPr="005F540B">
        <w:t>Tabela 3.3.2. Aplicações em Serviços de Saúde Pública - ASPS</w:t>
      </w: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3"/>
        <w:gridCol w:w="1755"/>
        <w:gridCol w:w="1480"/>
      </w:tblGrid>
      <w:tr w:rsidR="005F540B" w:rsidRPr="005F540B" w14:paraId="738E57A9" w14:textId="77777777" w:rsidTr="00C4055D">
        <w:trPr>
          <w:trHeight w:val="300"/>
          <w:jc w:val="center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375E" w14:textId="77777777" w:rsidR="005F540B" w:rsidRPr="005F540B" w:rsidRDefault="005F540B" w:rsidP="005F54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F10F" w14:textId="77777777" w:rsidR="005F540B" w:rsidRPr="005F540B" w:rsidRDefault="005F540B" w:rsidP="005F54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931A" w14:textId="77777777" w:rsidR="005F540B" w:rsidRPr="005F540B" w:rsidRDefault="005F540B" w:rsidP="005F54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5F540B" w:rsidRPr="005F540B" w14:paraId="735261C2" w14:textId="77777777" w:rsidTr="00C4055D">
        <w:trPr>
          <w:trHeight w:val="300"/>
          <w:jc w:val="center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C5DB1E" w14:textId="77777777" w:rsidR="005F540B" w:rsidRPr="005F540B" w:rsidRDefault="005F540B" w:rsidP="005F54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Descrição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73D6F4" w14:textId="77777777" w:rsidR="005F540B" w:rsidRPr="005F540B" w:rsidRDefault="005F540B" w:rsidP="005F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R$ 1.000,00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0A2C4C" w14:textId="77777777" w:rsidR="005F540B" w:rsidRPr="005F540B" w:rsidRDefault="005F540B" w:rsidP="005F5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%</w:t>
            </w:r>
          </w:p>
        </w:tc>
      </w:tr>
      <w:tr w:rsidR="005F540B" w:rsidRPr="005F540B" w14:paraId="6B09D132" w14:textId="77777777" w:rsidTr="00C4055D">
        <w:trPr>
          <w:trHeight w:val="300"/>
          <w:jc w:val="center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3CF3" w14:textId="77777777" w:rsidR="005F540B" w:rsidRPr="005F540B" w:rsidRDefault="005F540B" w:rsidP="005F5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RLIT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F849" w14:textId="77777777" w:rsidR="005F540B" w:rsidRPr="005F540B" w:rsidRDefault="005F540B" w:rsidP="005F5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47.733.601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09B2" w14:textId="77777777" w:rsidR="005F540B" w:rsidRPr="005F540B" w:rsidRDefault="005F540B" w:rsidP="005F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100,0%</w:t>
            </w:r>
          </w:p>
        </w:tc>
      </w:tr>
      <w:tr w:rsidR="005F540B" w:rsidRPr="005F540B" w14:paraId="2629E406" w14:textId="77777777" w:rsidTr="00C4055D">
        <w:trPr>
          <w:trHeight w:val="300"/>
          <w:jc w:val="center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5BC7" w14:textId="77777777" w:rsidR="005F540B" w:rsidRPr="005F540B" w:rsidRDefault="005F540B" w:rsidP="005F5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Aplicações na Secretaria da Saúde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E1CC" w14:textId="77777777" w:rsidR="005F540B" w:rsidRPr="005F540B" w:rsidRDefault="005F540B" w:rsidP="005F5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 4.732.556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165E" w14:textId="77777777" w:rsidR="005F540B" w:rsidRPr="005F540B" w:rsidRDefault="005F540B" w:rsidP="005F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9,9%</w:t>
            </w:r>
          </w:p>
        </w:tc>
      </w:tr>
      <w:tr w:rsidR="005F540B" w:rsidRPr="005F540B" w14:paraId="2BE08140" w14:textId="77777777" w:rsidTr="00C4055D">
        <w:trPr>
          <w:trHeight w:val="300"/>
          <w:jc w:val="center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85C9" w14:textId="19D4CA87" w:rsidR="005F540B" w:rsidRPr="005F540B" w:rsidRDefault="005F540B" w:rsidP="005F5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Contribuição Assistência Médica do IPERGS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2E0F" w14:textId="77777777" w:rsidR="005F540B" w:rsidRPr="005F540B" w:rsidRDefault="005F540B" w:rsidP="005F5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    962.422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DE93" w14:textId="77777777" w:rsidR="005F540B" w:rsidRPr="005F540B" w:rsidRDefault="005F540B" w:rsidP="005F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2,0%</w:t>
            </w:r>
          </w:p>
        </w:tc>
      </w:tr>
      <w:tr w:rsidR="005F540B" w:rsidRPr="005F540B" w14:paraId="0D895CCC" w14:textId="77777777" w:rsidTr="00C4055D">
        <w:trPr>
          <w:trHeight w:val="300"/>
          <w:jc w:val="center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318A" w14:textId="77777777" w:rsidR="005F540B" w:rsidRPr="005F540B" w:rsidRDefault="005F540B" w:rsidP="005F5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Demais aplicações em Saúde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6B4D" w14:textId="77777777" w:rsidR="005F540B" w:rsidRPr="005F540B" w:rsidRDefault="005F540B" w:rsidP="005F5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       33.784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F96" w14:textId="77777777" w:rsidR="005F540B" w:rsidRPr="005F540B" w:rsidRDefault="005F540B" w:rsidP="005F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0,1%</w:t>
            </w:r>
          </w:p>
        </w:tc>
      </w:tr>
      <w:tr w:rsidR="005F540B" w:rsidRPr="005F540B" w14:paraId="652EA2CA" w14:textId="77777777" w:rsidTr="00C4055D">
        <w:trPr>
          <w:trHeight w:val="300"/>
          <w:jc w:val="center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B9C8F6" w14:textId="77777777" w:rsidR="005F540B" w:rsidRPr="005F540B" w:rsidRDefault="005F540B" w:rsidP="005F5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Aplicações em ações de Saúde Pública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5F70D1" w14:textId="77777777" w:rsidR="005F540B" w:rsidRPr="005F540B" w:rsidRDefault="005F540B" w:rsidP="005F5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           5.728.763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77C789" w14:textId="77777777" w:rsidR="005F540B" w:rsidRPr="005F540B" w:rsidRDefault="005F540B" w:rsidP="005F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12,0%</w:t>
            </w:r>
          </w:p>
        </w:tc>
      </w:tr>
      <w:tr w:rsidR="005F540B" w:rsidRPr="005F540B" w14:paraId="2013C8B9" w14:textId="77777777" w:rsidTr="00C4055D">
        <w:trPr>
          <w:trHeight w:val="300"/>
          <w:jc w:val="center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1F49" w14:textId="3949A6CE" w:rsidR="005F540B" w:rsidRPr="005F540B" w:rsidRDefault="005F540B" w:rsidP="005F5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FONTE: Proposta 2024 - Volume </w:t>
            </w:r>
            <w:r w:rsidR="00F4128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  <w:r w:rsidRPr="005F54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0FAF" w14:textId="77777777" w:rsidR="005F540B" w:rsidRPr="005F540B" w:rsidRDefault="005F540B" w:rsidP="005F5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7016" w14:textId="77777777" w:rsidR="005F540B" w:rsidRPr="005F540B" w:rsidRDefault="005F540B" w:rsidP="005F54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</w:tbl>
    <w:p w14:paraId="6479729F" w14:textId="77777777" w:rsidR="00132508" w:rsidRDefault="00132508" w:rsidP="00132508">
      <w:pPr>
        <w:spacing w:line="360" w:lineRule="auto"/>
        <w:jc w:val="both"/>
        <w:rPr>
          <w:b/>
          <w:bCs/>
        </w:rPr>
      </w:pPr>
    </w:p>
    <w:p w14:paraId="044479A3" w14:textId="33C2C634" w:rsidR="00132508" w:rsidRDefault="00C4055D" w:rsidP="002549E2">
      <w:pPr>
        <w:pStyle w:val="Ttulo1"/>
        <w:numPr>
          <w:ilvl w:val="0"/>
          <w:numId w:val="4"/>
        </w:numPr>
        <w:rPr>
          <w:rFonts w:ascii="Arial" w:hAnsi="Arial" w:cs="Arial"/>
          <w:b/>
          <w:bCs/>
          <w:color w:val="auto"/>
          <w:sz w:val="24"/>
          <w:szCs w:val="24"/>
        </w:rPr>
      </w:pPr>
      <w:bookmarkStart w:id="15" w:name="_Toc147820445"/>
      <w:r w:rsidRPr="00C4055D">
        <w:rPr>
          <w:rFonts w:ascii="Arial" w:hAnsi="Arial" w:cs="Arial"/>
          <w:b/>
          <w:bCs/>
          <w:color w:val="auto"/>
          <w:sz w:val="24"/>
          <w:szCs w:val="24"/>
        </w:rPr>
        <w:t>Con</w:t>
      </w:r>
      <w:r w:rsidR="009C48E5">
        <w:rPr>
          <w:rFonts w:ascii="Arial" w:hAnsi="Arial" w:cs="Arial"/>
          <w:b/>
          <w:bCs/>
          <w:color w:val="auto"/>
          <w:sz w:val="24"/>
          <w:szCs w:val="24"/>
        </w:rPr>
        <w:t>sideração finais</w:t>
      </w:r>
      <w:bookmarkEnd w:id="15"/>
    </w:p>
    <w:p w14:paraId="4C349D1B" w14:textId="77777777" w:rsidR="00900E9F" w:rsidRPr="00900E9F" w:rsidRDefault="00900E9F" w:rsidP="00900E9F"/>
    <w:p w14:paraId="6106A3BD" w14:textId="4BF15640" w:rsidR="00900E9F" w:rsidRDefault="00900E9F" w:rsidP="00900E9F">
      <w:pPr>
        <w:spacing w:line="360" w:lineRule="auto"/>
        <w:contextualSpacing/>
        <w:jc w:val="both"/>
        <w:rPr>
          <w:b/>
          <w:bCs/>
        </w:rPr>
      </w:pPr>
      <w:r>
        <w:t xml:space="preserve">No período 2018-2022, as receitas correntes cresceram 5,5%, sendo 5% das receitas próprias e 7,4% das de transferências. E as receitas de capital aumentaram 45,3%. No entanto, quando comparadas como o ano imediatamente anterior, as receitas correntes </w:t>
      </w:r>
      <w:r w:rsidRPr="00203BA9">
        <w:rPr>
          <w:b/>
          <w:bCs/>
        </w:rPr>
        <w:t>decresceram 8,2</w:t>
      </w:r>
      <w:r>
        <w:t xml:space="preserve">. As receitas </w:t>
      </w:r>
      <w:r w:rsidRPr="008F54BE">
        <w:rPr>
          <w:b/>
          <w:bCs/>
        </w:rPr>
        <w:t xml:space="preserve">próprias </w:t>
      </w:r>
      <w:r>
        <w:t xml:space="preserve">foram as que mais </w:t>
      </w:r>
      <w:r w:rsidRPr="00203BA9">
        <w:rPr>
          <w:b/>
          <w:bCs/>
        </w:rPr>
        <w:t xml:space="preserve">caíram, 9,2%. </w:t>
      </w:r>
      <w:r>
        <w:t xml:space="preserve">Já as transferências </w:t>
      </w:r>
      <w:r w:rsidRPr="00203BA9">
        <w:rPr>
          <w:b/>
          <w:bCs/>
        </w:rPr>
        <w:t>caíram 4%.</w:t>
      </w:r>
    </w:p>
    <w:p w14:paraId="153DB61E" w14:textId="06B6F2D1" w:rsidR="00CA7C16" w:rsidRDefault="00CA7C16" w:rsidP="00CA7C16">
      <w:pPr>
        <w:spacing w:line="360" w:lineRule="auto"/>
        <w:ind w:firstLine="567"/>
        <w:contextualSpacing/>
        <w:jc w:val="both"/>
      </w:pPr>
      <w:r>
        <w:t>A queda das receitas correntes próprias em 2022 deve-se principalmente a três fatores: redução das alíquotas do ICMS</w:t>
      </w:r>
      <w:r w:rsidR="002F12C5">
        <w:t>;</w:t>
      </w:r>
      <w:r>
        <w:t xml:space="preserve"> grande seca que reduziu em 46% a produção agropecuária</w:t>
      </w:r>
      <w:r w:rsidR="002F12C5">
        <w:t>;</w:t>
      </w:r>
      <w:r>
        <w:t xml:space="preserve"> e base alta do ano anterior, devido às operações de venda da CEEE. O ICMS, o maior item de arrecadação, </w:t>
      </w:r>
      <w:r w:rsidRPr="00203BA9">
        <w:rPr>
          <w:b/>
          <w:bCs/>
        </w:rPr>
        <w:t>caiu 4,8% nominais ou 12,8% reais em 2022</w:t>
      </w:r>
      <w:r>
        <w:rPr>
          <w:b/>
          <w:bCs/>
        </w:rPr>
        <w:t>.</w:t>
      </w:r>
    </w:p>
    <w:p w14:paraId="25CF23B3" w14:textId="681938EC" w:rsidR="00CA7C16" w:rsidRDefault="00CA7C16" w:rsidP="00CA7C16">
      <w:pPr>
        <w:spacing w:line="360" w:lineRule="auto"/>
        <w:ind w:firstLine="567"/>
        <w:contextualSpacing/>
        <w:jc w:val="both"/>
      </w:pPr>
      <w:r>
        <w:t xml:space="preserve">As </w:t>
      </w:r>
      <w:r w:rsidRPr="003341C5">
        <w:rPr>
          <w:b/>
          <w:bCs/>
        </w:rPr>
        <w:t>receitas de capital cresceram 45,3%</w:t>
      </w:r>
      <w:r>
        <w:t xml:space="preserve"> no período.  As </w:t>
      </w:r>
      <w:r w:rsidRPr="003341C5">
        <w:rPr>
          <w:b/>
          <w:bCs/>
        </w:rPr>
        <w:t>alienações de bens</w:t>
      </w:r>
      <w:r>
        <w:rPr>
          <w:b/>
          <w:bCs/>
        </w:rPr>
        <w:t xml:space="preserve"> </w:t>
      </w:r>
      <w:r w:rsidRPr="003341C5">
        <w:rPr>
          <w:b/>
          <w:bCs/>
        </w:rPr>
        <w:t>cresceram 89,5%</w:t>
      </w:r>
      <w:r>
        <w:t xml:space="preserve"> no período 2018-2022. A queda de </w:t>
      </w:r>
      <w:r w:rsidRPr="00203BA9">
        <w:rPr>
          <w:b/>
          <w:bCs/>
        </w:rPr>
        <w:t>31,9</w:t>
      </w:r>
      <w:r>
        <w:t>% em 2022 deveu-</w:t>
      </w:r>
      <w:proofErr w:type="gramStart"/>
      <w:r>
        <w:t>se  à</w:t>
      </w:r>
      <w:proofErr w:type="gramEnd"/>
      <w:r>
        <w:t xml:space="preserve"> alta realização do ano anterior.  Todos os dados referidos neste item estão em valores constantes. </w:t>
      </w:r>
    </w:p>
    <w:p w14:paraId="305836D0" w14:textId="77777777" w:rsidR="002549E2" w:rsidRDefault="002549E2" w:rsidP="00CA7C16">
      <w:pPr>
        <w:spacing w:line="360" w:lineRule="auto"/>
        <w:ind w:firstLine="567"/>
        <w:contextualSpacing/>
        <w:jc w:val="both"/>
        <w:rPr>
          <w:b/>
          <w:bCs/>
        </w:rPr>
      </w:pPr>
    </w:p>
    <w:p w14:paraId="1CB66CC7" w14:textId="77777777" w:rsidR="00567E1E" w:rsidRDefault="00567E1E" w:rsidP="00CA7C16">
      <w:pPr>
        <w:spacing w:line="360" w:lineRule="auto"/>
        <w:ind w:firstLine="567"/>
        <w:contextualSpacing/>
        <w:jc w:val="both"/>
        <w:rPr>
          <w:b/>
          <w:bCs/>
        </w:rPr>
      </w:pPr>
    </w:p>
    <w:p w14:paraId="4D4AA2E3" w14:textId="77777777" w:rsidR="009126E9" w:rsidRDefault="009126E9" w:rsidP="00CA7C16">
      <w:pPr>
        <w:spacing w:line="360" w:lineRule="auto"/>
        <w:ind w:firstLine="567"/>
        <w:contextualSpacing/>
        <w:jc w:val="both"/>
        <w:rPr>
          <w:b/>
          <w:bCs/>
        </w:rPr>
      </w:pPr>
    </w:p>
    <w:p w14:paraId="17F2D240" w14:textId="77777777" w:rsidR="009126E9" w:rsidRDefault="009126E9" w:rsidP="00CA7C16">
      <w:pPr>
        <w:spacing w:line="360" w:lineRule="auto"/>
        <w:ind w:firstLine="567"/>
        <w:contextualSpacing/>
        <w:jc w:val="both"/>
        <w:rPr>
          <w:b/>
          <w:bCs/>
        </w:rPr>
      </w:pPr>
    </w:p>
    <w:p w14:paraId="2B132C8B" w14:textId="0C8A4A7C" w:rsidR="00035CF8" w:rsidRPr="002549E2" w:rsidRDefault="002549E2" w:rsidP="00CA7C16">
      <w:pPr>
        <w:spacing w:line="360" w:lineRule="auto"/>
        <w:ind w:firstLine="567"/>
        <w:contextualSpacing/>
        <w:jc w:val="both"/>
        <w:rPr>
          <w:b/>
          <w:bCs/>
        </w:rPr>
      </w:pPr>
      <w:r w:rsidRPr="002549E2">
        <w:rPr>
          <w:b/>
          <w:bCs/>
        </w:rPr>
        <w:t>Resultado ajustado</w:t>
      </w:r>
    </w:p>
    <w:p w14:paraId="2C926377" w14:textId="02344DE5" w:rsidR="002549E2" w:rsidRDefault="002549E2" w:rsidP="00CA7C16">
      <w:pPr>
        <w:spacing w:line="360" w:lineRule="auto"/>
        <w:ind w:firstLine="567"/>
        <w:contextualSpacing/>
        <w:jc w:val="both"/>
      </w:pPr>
      <w:r>
        <w:t>O déficit previsto no orçamento, pelo menos, financeiramente não ocorrerá. Será positivo de R$ 665 milhões,</w:t>
      </w:r>
      <w:r w:rsidR="00DA1E87">
        <w:t xml:space="preserve"> </w:t>
      </w:r>
      <w:r>
        <w:t xml:space="preserve">porque existe uma reserva orçamentária de R$ 1.691,8 milhões e o montante de investimentos poderá ser </w:t>
      </w:r>
      <w:r w:rsidR="0056431D">
        <w:t>feito</w:t>
      </w:r>
      <w:r>
        <w:t xml:space="preserve"> com os recursos de privatizaç</w:t>
      </w:r>
      <w:r w:rsidR="00567E1E">
        <w:t>ões</w:t>
      </w:r>
      <w:r>
        <w:t xml:space="preserve"> </w:t>
      </w:r>
      <w:r w:rsidR="0056431D">
        <w:t>já realizados T</w:t>
      </w:r>
      <w:r w:rsidR="00DA1E87">
        <w:t>abela 4.1)</w:t>
      </w:r>
      <w:r>
        <w:t xml:space="preserve"> </w:t>
      </w:r>
    </w:p>
    <w:p w14:paraId="1590522F" w14:textId="77777777" w:rsidR="009C48E5" w:rsidRDefault="009C48E5" w:rsidP="00CA7C16">
      <w:pPr>
        <w:spacing w:line="360" w:lineRule="auto"/>
        <w:ind w:firstLine="567"/>
        <w:contextualSpacing/>
        <w:jc w:val="both"/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2"/>
        <w:gridCol w:w="1048"/>
      </w:tblGrid>
      <w:tr w:rsidR="002549E2" w:rsidRPr="002549E2" w14:paraId="2EA878E2" w14:textId="77777777" w:rsidTr="002549E2">
        <w:trPr>
          <w:trHeight w:val="300"/>
          <w:jc w:val="center"/>
        </w:trPr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8927" w14:textId="7B4CCD17" w:rsidR="002549E2" w:rsidRPr="002549E2" w:rsidRDefault="002549E2" w:rsidP="00254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Tabela 4.1. Resultado orçamentário </w:t>
            </w:r>
            <w:r w:rsidR="000B146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ajustado e </w:t>
            </w: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sem investimentos*</w:t>
            </w:r>
          </w:p>
        </w:tc>
      </w:tr>
      <w:tr w:rsidR="002549E2" w:rsidRPr="002549E2" w14:paraId="5D8AF3B5" w14:textId="77777777" w:rsidTr="002549E2">
        <w:trPr>
          <w:trHeight w:val="300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362B" w14:textId="77777777" w:rsidR="002549E2" w:rsidRPr="002549E2" w:rsidRDefault="002549E2" w:rsidP="00254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CEB5" w14:textId="77777777" w:rsidR="002549E2" w:rsidRPr="002549E2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t-BR"/>
                <w14:ligatures w14:val="none"/>
              </w:rPr>
            </w:pPr>
          </w:p>
        </w:tc>
      </w:tr>
      <w:tr w:rsidR="002549E2" w:rsidRPr="002549E2" w14:paraId="7A4F7531" w14:textId="77777777" w:rsidTr="002549E2">
        <w:trPr>
          <w:trHeight w:val="300"/>
          <w:jc w:val="center"/>
        </w:trPr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B44DA2" w14:textId="77777777" w:rsidR="002549E2" w:rsidRPr="002549E2" w:rsidRDefault="002549E2" w:rsidP="00254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Descrição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130263" w14:textId="77777777" w:rsidR="002549E2" w:rsidRPr="002549E2" w:rsidRDefault="002549E2" w:rsidP="00254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Milhões</w:t>
            </w:r>
          </w:p>
        </w:tc>
      </w:tr>
      <w:tr w:rsidR="002549E2" w:rsidRPr="002549E2" w14:paraId="16829B30" w14:textId="77777777" w:rsidTr="002549E2">
        <w:trPr>
          <w:trHeight w:val="300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C1D9" w14:textId="77777777" w:rsidR="002549E2" w:rsidRPr="002549E2" w:rsidRDefault="002549E2" w:rsidP="00254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Resultado orçamentário previsto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9525" w14:textId="77777777" w:rsidR="002549E2" w:rsidRPr="002549E2" w:rsidRDefault="002549E2" w:rsidP="00254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-2.686,1 </w:t>
            </w:r>
          </w:p>
        </w:tc>
      </w:tr>
      <w:tr w:rsidR="002549E2" w:rsidRPr="002549E2" w14:paraId="41B2575C" w14:textId="77777777" w:rsidTr="002549E2">
        <w:trPr>
          <w:trHeight w:val="300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45E6" w14:textId="4F1B7696" w:rsidR="002549E2" w:rsidRPr="002549E2" w:rsidRDefault="002549E2" w:rsidP="00254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Reserva or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ça</w:t>
            </w: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mentária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4AA5" w14:textId="77777777" w:rsidR="002549E2" w:rsidRPr="002549E2" w:rsidRDefault="002549E2" w:rsidP="00254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1.691,8 </w:t>
            </w:r>
          </w:p>
        </w:tc>
      </w:tr>
      <w:tr w:rsidR="002549E2" w:rsidRPr="002549E2" w14:paraId="437E9642" w14:textId="77777777" w:rsidTr="002549E2">
        <w:trPr>
          <w:trHeight w:val="300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3FD5" w14:textId="77777777" w:rsidR="002549E2" w:rsidRPr="002549E2" w:rsidRDefault="002549E2" w:rsidP="00254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Investimentos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BF4D" w14:textId="77777777" w:rsidR="002549E2" w:rsidRPr="002549E2" w:rsidRDefault="002549E2" w:rsidP="00254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1.981,2 </w:t>
            </w:r>
          </w:p>
        </w:tc>
      </w:tr>
      <w:tr w:rsidR="002549E2" w:rsidRPr="002549E2" w14:paraId="773E9A44" w14:textId="77777777" w:rsidTr="002549E2">
        <w:trPr>
          <w:trHeight w:val="300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3F09" w14:textId="471C3454" w:rsidR="002549E2" w:rsidRPr="002549E2" w:rsidRDefault="002549E2" w:rsidP="00254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(-) Receitas de capital exceto oper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ações </w:t>
            </w: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crédito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2D0A" w14:textId="77777777" w:rsidR="002549E2" w:rsidRPr="002549E2" w:rsidRDefault="002549E2" w:rsidP="00254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-321,9 </w:t>
            </w:r>
          </w:p>
        </w:tc>
      </w:tr>
      <w:tr w:rsidR="002549E2" w:rsidRPr="002549E2" w14:paraId="4249EE57" w14:textId="77777777" w:rsidTr="002549E2">
        <w:trPr>
          <w:trHeight w:val="300"/>
          <w:jc w:val="center"/>
        </w:trPr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12767" w14:textId="77777777" w:rsidR="002549E2" w:rsidRPr="002549E2" w:rsidRDefault="002549E2" w:rsidP="00254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Resultado orçamentário exceto investimentos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16845" w14:textId="77777777" w:rsidR="002549E2" w:rsidRPr="002549E2" w:rsidRDefault="002549E2" w:rsidP="00254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665,0 </w:t>
            </w:r>
          </w:p>
        </w:tc>
      </w:tr>
      <w:tr w:rsidR="002549E2" w:rsidRPr="002549E2" w14:paraId="7EFBF071" w14:textId="77777777" w:rsidTr="002549E2">
        <w:trPr>
          <w:trHeight w:val="300"/>
          <w:jc w:val="center"/>
        </w:trPr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6031" w14:textId="77777777" w:rsidR="002549E2" w:rsidRPr="002549E2" w:rsidRDefault="002549E2" w:rsidP="00254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(*) O Estado tem recursos de privatização para aplicar em investimentos </w:t>
            </w:r>
          </w:p>
        </w:tc>
      </w:tr>
      <w:tr w:rsidR="002549E2" w:rsidRPr="002549E2" w14:paraId="4401C9D9" w14:textId="77777777" w:rsidTr="002549E2">
        <w:trPr>
          <w:trHeight w:val="300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2B8B" w14:textId="77777777" w:rsidR="002549E2" w:rsidRPr="002549E2" w:rsidRDefault="002549E2" w:rsidP="00254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549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FONTE: Proposta Orçamentária - Mensagem.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3D27" w14:textId="77777777" w:rsidR="002549E2" w:rsidRPr="002549E2" w:rsidRDefault="002549E2" w:rsidP="00254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</w:tbl>
    <w:p w14:paraId="78AAA4E6" w14:textId="77777777" w:rsidR="002549E2" w:rsidRDefault="002549E2" w:rsidP="00CA7C16">
      <w:pPr>
        <w:spacing w:line="360" w:lineRule="auto"/>
        <w:ind w:firstLine="567"/>
        <w:contextualSpacing/>
        <w:jc w:val="both"/>
      </w:pPr>
    </w:p>
    <w:p w14:paraId="4423391B" w14:textId="47E01AA6" w:rsidR="00DA1E87" w:rsidRDefault="00DA1E87" w:rsidP="00CA7C16">
      <w:pPr>
        <w:spacing w:line="360" w:lineRule="auto"/>
        <w:ind w:firstLine="567"/>
        <w:contextualSpacing/>
        <w:jc w:val="both"/>
      </w:pPr>
      <w:r>
        <w:t>Além disso, as receitas tenderão a crescer, mesmo que sua previsão orçamentária tenha sido</w:t>
      </w:r>
      <w:r w:rsidR="00AD2F69">
        <w:t>, aparentemente, exagerada</w:t>
      </w:r>
      <w:r>
        <w:t xml:space="preserve">. </w:t>
      </w:r>
      <w:r w:rsidR="00567E1E">
        <w:t>As</w:t>
      </w:r>
      <w:r>
        <w:t xml:space="preserve"> razões que levam acreditar </w:t>
      </w:r>
      <w:r w:rsidR="0056431D">
        <w:t xml:space="preserve">nesse </w:t>
      </w:r>
      <w:r w:rsidR="00AD2F69">
        <w:t>fato são</w:t>
      </w:r>
      <w:r w:rsidR="0056431D">
        <w:t xml:space="preserve"> a</w:t>
      </w:r>
      <w:r>
        <w:t xml:space="preserve">s expostas no item </w:t>
      </w:r>
      <w:r w:rsidR="00D851B5">
        <w:t xml:space="preserve">3, </w:t>
      </w:r>
      <w:r w:rsidR="00AD2F69">
        <w:t>tais como</w:t>
      </w:r>
      <w:r w:rsidR="00D851B5">
        <w:t xml:space="preserve"> uma realização bem superior à previsão até junho </w:t>
      </w:r>
      <w:r w:rsidR="00F3452E">
        <w:t xml:space="preserve">2023 </w:t>
      </w:r>
      <w:r w:rsidR="00D851B5">
        <w:t>e a possibilidade de um PIB muito maior que o previsto</w:t>
      </w:r>
      <w:r w:rsidR="00F3452E">
        <w:t>, de 1,48%</w:t>
      </w:r>
      <w:r w:rsidR="000B1461">
        <w:t>.</w:t>
      </w:r>
      <w:r w:rsidR="00F3452E">
        <w:t xml:space="preserve"> </w:t>
      </w:r>
    </w:p>
    <w:p w14:paraId="072BCFE6" w14:textId="112E78FA" w:rsidR="00107E96" w:rsidRDefault="00107E96" w:rsidP="00CA7C16">
      <w:pPr>
        <w:spacing w:line="360" w:lineRule="auto"/>
        <w:ind w:firstLine="567"/>
        <w:contextualSpacing/>
        <w:jc w:val="both"/>
      </w:pPr>
      <w:r>
        <w:t xml:space="preserve">Além disso, </w:t>
      </w:r>
      <w:r w:rsidR="00567E1E">
        <w:t xml:space="preserve">nos últimos anos, </w:t>
      </w:r>
      <w:r>
        <w:t>ocorrem</w:t>
      </w:r>
      <w:r w:rsidR="00567E1E">
        <w:t xml:space="preserve"> costumeiramente enormes</w:t>
      </w:r>
      <w:r w:rsidRPr="00107E96">
        <w:rPr>
          <w:b/>
          <w:bCs/>
        </w:rPr>
        <w:t xml:space="preserve"> diferenças entre os resultado</w:t>
      </w:r>
      <w:r>
        <w:rPr>
          <w:b/>
          <w:bCs/>
        </w:rPr>
        <w:t>s</w:t>
      </w:r>
      <w:r w:rsidRPr="00107E96">
        <w:rPr>
          <w:b/>
          <w:bCs/>
        </w:rPr>
        <w:t xml:space="preserve"> orçamentários</w:t>
      </w:r>
      <w:r w:rsidR="000B1461">
        <w:rPr>
          <w:b/>
          <w:bCs/>
        </w:rPr>
        <w:t xml:space="preserve"> e os</w:t>
      </w:r>
      <w:r w:rsidRPr="00107E96">
        <w:rPr>
          <w:b/>
          <w:bCs/>
        </w:rPr>
        <w:t xml:space="preserve"> previstos, geralmente enormes </w:t>
      </w:r>
      <w:r w:rsidR="00560377" w:rsidRPr="00107E96">
        <w:rPr>
          <w:b/>
          <w:bCs/>
        </w:rPr>
        <w:t>déficits</w:t>
      </w:r>
      <w:r w:rsidR="00560377">
        <w:rPr>
          <w:b/>
          <w:bCs/>
        </w:rPr>
        <w:t xml:space="preserve">, </w:t>
      </w:r>
      <w:r w:rsidR="00560377" w:rsidRPr="00107E96">
        <w:rPr>
          <w:b/>
          <w:bCs/>
        </w:rPr>
        <w:t>e</w:t>
      </w:r>
      <w:r w:rsidRPr="00107E96">
        <w:rPr>
          <w:b/>
          <w:bCs/>
        </w:rPr>
        <w:t xml:space="preserve"> sua realização</w:t>
      </w:r>
      <w:r>
        <w:t xml:space="preserve">, sempre </w:t>
      </w:r>
      <w:r w:rsidRPr="00560377">
        <w:rPr>
          <w:b/>
          <w:bCs/>
        </w:rPr>
        <w:t xml:space="preserve">com </w:t>
      </w:r>
      <w:r w:rsidR="00560377" w:rsidRPr="00560377">
        <w:rPr>
          <w:b/>
          <w:bCs/>
        </w:rPr>
        <w:t xml:space="preserve">resultados </w:t>
      </w:r>
      <w:r w:rsidR="0056431D" w:rsidRPr="00560377">
        <w:rPr>
          <w:b/>
          <w:bCs/>
        </w:rPr>
        <w:t>positivos altos</w:t>
      </w:r>
      <w:r>
        <w:t xml:space="preserve">. </w:t>
      </w:r>
      <w:r w:rsidR="00F374F7">
        <w:t>P</w:t>
      </w:r>
      <w:r w:rsidR="00ED1C28">
        <w:t>arte decorre das privatizações que não estavam contempladas na previsão</w:t>
      </w:r>
      <w:r w:rsidR="00F374F7">
        <w:t xml:space="preserve">, mas parte tem outras origens. Uma prova disso, é que o resultado primário, que não inclui receitas de capital, também apresenta divergências. </w:t>
      </w:r>
    </w:p>
    <w:p w14:paraId="56F71A49" w14:textId="31B6D66D" w:rsidR="0056431D" w:rsidRDefault="0056431D" w:rsidP="00CA7C16">
      <w:pPr>
        <w:spacing w:line="360" w:lineRule="auto"/>
        <w:ind w:firstLine="567"/>
        <w:contextualSpacing/>
        <w:jc w:val="both"/>
      </w:pPr>
      <w:r>
        <w:t xml:space="preserve">Isso não quer dizer que a situação </w:t>
      </w:r>
      <w:r w:rsidR="00AD2F69">
        <w:t>será tranquila</w:t>
      </w:r>
      <w:r>
        <w:t xml:space="preserve"> </w:t>
      </w:r>
      <w:r w:rsidR="00567E1E">
        <w:t>n</w:t>
      </w:r>
      <w:r>
        <w:t xml:space="preserve">o futuro, sem </w:t>
      </w:r>
      <w:r w:rsidR="001375C2">
        <w:t>uma revisão</w:t>
      </w:r>
      <w:r>
        <w:t xml:space="preserve"> no acordo da dívida, porque são muitas as oscilações climáticas do Estado, que influem marcantemente na arrecadação. Além </w:t>
      </w:r>
      <w:r w:rsidR="001375C2">
        <w:t>disso, o</w:t>
      </w:r>
      <w:r>
        <w:t xml:space="preserve"> fato de terem ficado para trás dez anos sem o pagamento das prestações da dívida, elevou </w:t>
      </w:r>
      <w:r>
        <w:lastRenderedPageBreak/>
        <w:t>excessivamente seu valor</w:t>
      </w:r>
      <w:r>
        <w:rPr>
          <w:rStyle w:val="Refdenotaderodap"/>
        </w:rPr>
        <w:footnoteReference w:id="1"/>
      </w:r>
      <w:r w:rsidR="001375C2">
        <w:t xml:space="preserve">.Também influem muito as decisões em nível </w:t>
      </w:r>
      <w:r w:rsidR="00567E1E">
        <w:t>federal, sem</w:t>
      </w:r>
      <w:r w:rsidR="001375C2">
        <w:t xml:space="preserve"> observar as peculiaridades </w:t>
      </w:r>
      <w:r w:rsidR="00567E1E">
        <w:t>regionais</w:t>
      </w:r>
      <w:r w:rsidR="001375C2">
        <w:t xml:space="preserve">. </w:t>
      </w:r>
    </w:p>
    <w:p w14:paraId="66C8B948" w14:textId="7778F2B0" w:rsidR="00873C59" w:rsidRDefault="000B1461" w:rsidP="00CA7C16">
      <w:pPr>
        <w:spacing w:line="360" w:lineRule="auto"/>
        <w:ind w:firstLine="567"/>
        <w:contextualSpacing/>
        <w:jc w:val="both"/>
      </w:pPr>
      <w:r>
        <w:t>O</w:t>
      </w:r>
      <w:r w:rsidR="00873C59">
        <w:t xml:space="preserve"> crescimento da despesa com pessoal decorre mais dos </w:t>
      </w:r>
      <w:r w:rsidR="00873C59" w:rsidRPr="00AD2F69">
        <w:rPr>
          <w:b/>
          <w:bCs/>
        </w:rPr>
        <w:t>precatórios</w:t>
      </w:r>
      <w:r w:rsidR="00873C59">
        <w:t xml:space="preserve"> que, quando desconsiderados, o crescimento nominal passa para apenas 2,7</w:t>
      </w:r>
      <w:r>
        <w:t>%</w:t>
      </w:r>
      <w:r w:rsidR="00873C59">
        <w:t xml:space="preserve">, com um decréscimo real de 2%. Por isso, certamente haverá muitos movimentos reivindicatórios </w:t>
      </w:r>
      <w:r w:rsidR="00567E1E">
        <w:t>por</w:t>
      </w:r>
      <w:r w:rsidR="00873C59">
        <w:t xml:space="preserve"> reajuste</w:t>
      </w:r>
      <w:r w:rsidR="00567E1E">
        <w:t xml:space="preserve"> salariais</w:t>
      </w:r>
      <w:r w:rsidR="00873C59">
        <w:t xml:space="preserve">. </w:t>
      </w:r>
    </w:p>
    <w:p w14:paraId="2291940D" w14:textId="5A98B8FB" w:rsidR="00873C59" w:rsidRDefault="006C42E5" w:rsidP="00CA7C16">
      <w:pPr>
        <w:spacing w:line="360" w:lineRule="auto"/>
        <w:ind w:firstLine="567"/>
        <w:contextualSpacing/>
        <w:jc w:val="both"/>
      </w:pPr>
      <w:r>
        <w:t xml:space="preserve">Em compensação as outras despesas correntes (ODC), estão dotadas com um crescimento nominal de R$ 4.783,4 milhões ou 30,5% sobre o orçamento passado, </w:t>
      </w:r>
      <w:proofErr w:type="gramStart"/>
      <w:r>
        <w:t>que</w:t>
      </w:r>
      <w:r w:rsidR="00567E1E">
        <w:t xml:space="preserve"> </w:t>
      </w:r>
      <w:r w:rsidR="00F374F7">
        <w:t>,</w:t>
      </w:r>
      <w:proofErr w:type="gramEnd"/>
      <w:r w:rsidR="00F374F7">
        <w:t xml:space="preserve"> ainda, </w:t>
      </w:r>
      <w:r w:rsidR="00567E1E">
        <w:t>deve</w:t>
      </w:r>
      <w:r>
        <w:t xml:space="preserve"> ter uma realização a menor. Retirando-se os precatórios (R$ 1.534 milhões), ainda resta um crescimento de R$ 3.249,4 milhões, 20,7% nominais ou 15% reais. </w:t>
      </w:r>
      <w:r w:rsidR="00873C59">
        <w:t xml:space="preserve"> </w:t>
      </w:r>
    </w:p>
    <w:p w14:paraId="3B70BF52" w14:textId="509F5917" w:rsidR="00107E96" w:rsidRDefault="00567E1E" w:rsidP="00CA7C16">
      <w:pPr>
        <w:spacing w:line="360" w:lineRule="auto"/>
        <w:ind w:firstLine="567"/>
        <w:contextualSpacing/>
        <w:jc w:val="both"/>
      </w:pPr>
      <w:r>
        <w:t>Voltando às discrepâncias tratadas, não</w:t>
      </w:r>
      <w:r w:rsidR="00107E96">
        <w:t xml:space="preserve"> é só o resultado orçamentário</w:t>
      </w:r>
      <w:r w:rsidR="001375C2">
        <w:t xml:space="preserve"> que apresenta </w:t>
      </w:r>
      <w:r>
        <w:t>divergências</w:t>
      </w:r>
      <w:r w:rsidR="001375C2">
        <w:t xml:space="preserve"> entre previsão e realização</w:t>
      </w:r>
      <w:r w:rsidR="00107E96">
        <w:t xml:space="preserve">, porque o </w:t>
      </w:r>
      <w:r w:rsidR="00107E96" w:rsidRPr="000B1461">
        <w:rPr>
          <w:b/>
          <w:bCs/>
        </w:rPr>
        <w:t>resultado primário</w:t>
      </w:r>
      <w:r w:rsidR="00107E96">
        <w:t xml:space="preserve"> previsto para o exercício de </w:t>
      </w:r>
      <w:r w:rsidR="00AD2F69">
        <w:t>2003, um</w:t>
      </w:r>
      <w:r w:rsidR="00107E96">
        <w:t xml:space="preserve"> déficit de 2.250 </w:t>
      </w:r>
      <w:r>
        <w:t>milhões, sua</w:t>
      </w:r>
      <w:r w:rsidR="00107E96">
        <w:t xml:space="preserve"> realização até agosto é positiva </w:t>
      </w:r>
      <w:r w:rsidR="001375C2">
        <w:t>em</w:t>
      </w:r>
      <w:r w:rsidR="00107E96">
        <w:t xml:space="preserve"> </w:t>
      </w:r>
      <w:r w:rsidR="00107E96" w:rsidRPr="001375C2">
        <w:rPr>
          <w:b/>
          <w:bCs/>
        </w:rPr>
        <w:t>R$ 3.274,5,</w:t>
      </w:r>
      <w:r w:rsidR="00107E96">
        <w:t xml:space="preserve"> </w:t>
      </w:r>
      <w:r w:rsidR="00107E96" w:rsidRPr="00107E96">
        <w:rPr>
          <w:b/>
          <w:bCs/>
        </w:rPr>
        <w:t>numa diferença de R$ 5.524,5 milhões</w:t>
      </w:r>
      <w:r w:rsidR="00AD2F69">
        <w:rPr>
          <w:b/>
          <w:bCs/>
        </w:rPr>
        <w:t xml:space="preserve"> </w:t>
      </w:r>
      <w:r w:rsidR="00AD2F69" w:rsidRPr="00AD2F69">
        <w:t>(RREO,4° bim./2023).</w:t>
      </w:r>
    </w:p>
    <w:p w14:paraId="7EB471A5" w14:textId="531E3617" w:rsidR="00107E96" w:rsidRDefault="00107E96" w:rsidP="00CA7C16">
      <w:pPr>
        <w:spacing w:line="360" w:lineRule="auto"/>
        <w:ind w:firstLine="567"/>
        <w:contextualSpacing/>
        <w:jc w:val="both"/>
      </w:pPr>
      <w:r>
        <w:t xml:space="preserve">Para 2024, está previsto um </w:t>
      </w:r>
      <w:r w:rsidRPr="001375C2">
        <w:rPr>
          <w:b/>
          <w:bCs/>
        </w:rPr>
        <w:t xml:space="preserve">déficit </w:t>
      </w:r>
      <w:r w:rsidR="001375C2" w:rsidRPr="001375C2">
        <w:rPr>
          <w:b/>
          <w:bCs/>
        </w:rPr>
        <w:t xml:space="preserve">primário </w:t>
      </w:r>
      <w:r w:rsidRPr="001375C2">
        <w:rPr>
          <w:b/>
          <w:bCs/>
        </w:rPr>
        <w:t>de R$ 3.511,4 milhões</w:t>
      </w:r>
      <w:r>
        <w:t xml:space="preserve">, que, pelas </w:t>
      </w:r>
      <w:r w:rsidR="00560377">
        <w:t>razões expostas</w:t>
      </w:r>
      <w:r>
        <w:t xml:space="preserve">, </w:t>
      </w:r>
      <w:r w:rsidR="000B1461">
        <w:t>podemos duvidar de</w:t>
      </w:r>
      <w:r w:rsidR="001375C2">
        <w:t xml:space="preserve"> sua consistência</w:t>
      </w:r>
      <w:r>
        <w:t xml:space="preserve">. </w:t>
      </w:r>
      <w:r w:rsidR="00AD2F69">
        <w:t>O que o torna m</w:t>
      </w:r>
      <w:r w:rsidR="000B1461">
        <w:t>aior</w:t>
      </w:r>
      <w:r w:rsidR="00AD2F69">
        <w:t xml:space="preserve"> é</w:t>
      </w:r>
      <w:r w:rsidR="000B1461">
        <w:t xml:space="preserve"> a previsão de</w:t>
      </w:r>
      <w:r w:rsidR="001375C2">
        <w:t xml:space="preserve"> pagamento de despesa primária com receita não primária, que é</w:t>
      </w:r>
      <w:r w:rsidR="000B1461">
        <w:t xml:space="preserve"> o caso d</w:t>
      </w:r>
      <w:r w:rsidR="001375C2">
        <w:t>o empréstimo do BID</w:t>
      </w:r>
      <w:r w:rsidR="000B1461">
        <w:t>, para pagamento de precatórios</w:t>
      </w:r>
      <w:r w:rsidR="001375C2">
        <w:t>.</w:t>
      </w:r>
    </w:p>
    <w:p w14:paraId="02A224A3" w14:textId="77777777" w:rsidR="001375C2" w:rsidRDefault="001375C2" w:rsidP="00CA7C16">
      <w:pPr>
        <w:spacing w:line="360" w:lineRule="auto"/>
        <w:ind w:firstLine="567"/>
        <w:contextualSpacing/>
        <w:jc w:val="both"/>
      </w:pPr>
    </w:p>
    <w:p w14:paraId="47CA3769" w14:textId="5C3CC82A" w:rsidR="00560377" w:rsidRDefault="00560377" w:rsidP="00CA7C16">
      <w:pPr>
        <w:spacing w:line="360" w:lineRule="auto"/>
        <w:ind w:firstLine="567"/>
        <w:contextualSpacing/>
        <w:jc w:val="both"/>
        <w:rPr>
          <w:b/>
          <w:bCs/>
        </w:rPr>
      </w:pPr>
      <w:r w:rsidRPr="00560377">
        <w:rPr>
          <w:b/>
          <w:bCs/>
        </w:rPr>
        <w:t>Precatórios judiciais</w:t>
      </w:r>
    </w:p>
    <w:p w14:paraId="4B20928C" w14:textId="4D30A30E" w:rsidR="00560377" w:rsidRDefault="00560377" w:rsidP="00CA7C16">
      <w:pPr>
        <w:spacing w:line="360" w:lineRule="auto"/>
        <w:ind w:firstLine="567"/>
        <w:contextualSpacing/>
        <w:jc w:val="both"/>
      </w:pPr>
      <w:r w:rsidRPr="00560377">
        <w:t>Estão previstos R</w:t>
      </w:r>
      <w:r w:rsidR="0083289D" w:rsidRPr="00560377">
        <w:t>$</w:t>
      </w:r>
      <w:r w:rsidR="0083289D">
        <w:t xml:space="preserve"> 2.041</w:t>
      </w:r>
      <w:r>
        <w:t xml:space="preserve"> bilhões de precatórios </w:t>
      </w:r>
      <w:r w:rsidR="00AD2F69">
        <w:t xml:space="preserve">em despesa </w:t>
      </w:r>
      <w:r w:rsidR="007061EC">
        <w:t>com pessoal</w:t>
      </w:r>
      <w:r>
        <w:t xml:space="preserve"> e mais R$ 1.534,3 milhões em ODC – </w:t>
      </w:r>
      <w:r w:rsidR="0083289D">
        <w:t>Outras despesas</w:t>
      </w:r>
      <w:r>
        <w:t xml:space="preserve"> correntes. Isso dá em torno de R$ 3. 500 milhões, que devem ser pagos com recursos de uma operação de crédito junto ao BID,</w:t>
      </w:r>
      <w:r w:rsidR="001375C2">
        <w:t xml:space="preserve"> referida, de</w:t>
      </w:r>
      <w:r>
        <w:t xml:space="preserve"> US$ </w:t>
      </w:r>
      <w:r w:rsidR="000B1461">
        <w:t xml:space="preserve">500 </w:t>
      </w:r>
      <w:proofErr w:type="gramStart"/>
      <w:r>
        <w:t>milhões</w:t>
      </w:r>
      <w:r w:rsidR="000B1461">
        <w:t xml:space="preserve">, </w:t>
      </w:r>
      <w:r>
        <w:t xml:space="preserve"> o</w:t>
      </w:r>
      <w:proofErr w:type="gramEnd"/>
      <w:r>
        <w:t xml:space="preserve"> equivalente a R$ 2</w:t>
      </w:r>
      <w:r w:rsidR="001375C2">
        <w:t>.</w:t>
      </w:r>
      <w:r>
        <w:t xml:space="preserve">580 </w:t>
      </w:r>
      <w:r w:rsidR="007061EC">
        <w:t>milhões; e</w:t>
      </w:r>
      <w:r>
        <w:t xml:space="preserve"> com recursos próprios, já que 1,5% da RCL dever ser destinad</w:t>
      </w:r>
      <w:r w:rsidR="00AD2F69">
        <w:t>a</w:t>
      </w:r>
      <w:r>
        <w:t xml:space="preserve"> para essa finalidade </w:t>
      </w:r>
    </w:p>
    <w:p w14:paraId="1557A863" w14:textId="6AD388DA" w:rsidR="0083289D" w:rsidRPr="0083289D" w:rsidRDefault="0083289D" w:rsidP="00CA7C16">
      <w:pPr>
        <w:spacing w:line="360" w:lineRule="auto"/>
        <w:ind w:firstLine="567"/>
        <w:contextualSpacing/>
        <w:jc w:val="both"/>
        <w:rPr>
          <w:b/>
          <w:bCs/>
        </w:rPr>
      </w:pPr>
      <w:r w:rsidRPr="0083289D">
        <w:rPr>
          <w:b/>
          <w:bCs/>
        </w:rPr>
        <w:t>Previdência Social</w:t>
      </w:r>
    </w:p>
    <w:p w14:paraId="25A2F90E" w14:textId="619E60C6" w:rsidR="001375C2" w:rsidRDefault="0083289D" w:rsidP="00CA7C16">
      <w:pPr>
        <w:spacing w:line="360" w:lineRule="auto"/>
        <w:ind w:firstLine="567"/>
        <w:contextualSpacing/>
        <w:jc w:val="both"/>
      </w:pPr>
      <w:r>
        <w:t xml:space="preserve">No período 2018-2022, como fatores positivos tem-se a redução do déficit da previdência, de 29,2% para 17,2% da RCLe, reduzindo a necessidade de financiamento, de 36,1% para 27,27%. Isso foi fruto das reformas e também da </w:t>
      </w:r>
      <w:r>
        <w:lastRenderedPageBreak/>
        <w:t xml:space="preserve">contenção da folha de pagamentos, necessária, </w:t>
      </w:r>
      <w:r w:rsidR="00FF3256">
        <w:t>mas com</w:t>
      </w:r>
      <w:r>
        <w:t xml:space="preserve"> prejuízo para as categorias menos favorecidas do funcionalismo. </w:t>
      </w:r>
    </w:p>
    <w:p w14:paraId="45A44107" w14:textId="69D053EC" w:rsidR="0083289D" w:rsidRDefault="0083289D" w:rsidP="00CA7C16">
      <w:pPr>
        <w:spacing w:line="360" w:lineRule="auto"/>
        <w:ind w:firstLine="567"/>
        <w:contextualSpacing/>
        <w:jc w:val="both"/>
        <w:rPr>
          <w:b/>
          <w:bCs/>
        </w:rPr>
      </w:pPr>
      <w:r w:rsidRPr="0083289D">
        <w:rPr>
          <w:b/>
          <w:bCs/>
        </w:rPr>
        <w:t>SIAC e depósitos judiciais</w:t>
      </w:r>
    </w:p>
    <w:p w14:paraId="7A2297D7" w14:textId="46A7BB75" w:rsidR="00560377" w:rsidRDefault="0058062B" w:rsidP="00CA7C16">
      <w:pPr>
        <w:spacing w:line="360" w:lineRule="auto"/>
        <w:ind w:firstLine="567"/>
        <w:contextualSpacing/>
        <w:jc w:val="both"/>
      </w:pPr>
      <w:r>
        <w:t xml:space="preserve">Outro fator positivo do período citado foi </w:t>
      </w:r>
      <w:r w:rsidR="001C175E">
        <w:t xml:space="preserve">a reversão da tendência </w:t>
      </w:r>
      <w:r w:rsidR="001C175E" w:rsidRPr="000B1461">
        <w:rPr>
          <w:b/>
          <w:bCs/>
        </w:rPr>
        <w:t xml:space="preserve">de saques </w:t>
      </w:r>
      <w:r w:rsidR="00FF3256" w:rsidRPr="000B1461">
        <w:rPr>
          <w:b/>
          <w:bCs/>
        </w:rPr>
        <w:t xml:space="preserve">recorrentes </w:t>
      </w:r>
      <w:r w:rsidR="001C175E" w:rsidRPr="000B1461">
        <w:rPr>
          <w:b/>
          <w:bCs/>
        </w:rPr>
        <w:t>no caixa único</w:t>
      </w:r>
      <w:r w:rsidR="001C175E">
        <w:t xml:space="preserve"> e nos </w:t>
      </w:r>
      <w:r w:rsidR="001C175E" w:rsidRPr="00F374F7">
        <w:rPr>
          <w:b/>
          <w:bCs/>
        </w:rPr>
        <w:t xml:space="preserve">depósitos </w:t>
      </w:r>
      <w:r w:rsidR="00FF3256" w:rsidRPr="00F374F7">
        <w:rPr>
          <w:b/>
          <w:bCs/>
        </w:rPr>
        <w:t>judiciais</w:t>
      </w:r>
      <w:r w:rsidR="00FF3256">
        <w:t xml:space="preserve">, com redução de </w:t>
      </w:r>
      <w:r w:rsidR="00FF3256" w:rsidRPr="000B1461">
        <w:rPr>
          <w:b/>
          <w:bCs/>
        </w:rPr>
        <w:t>R$ 6.493 milhões e R$ 168 milhões</w:t>
      </w:r>
      <w:r w:rsidR="00FF3256">
        <w:t xml:space="preserve">, respectivamente. Mesmo que parte da redução </w:t>
      </w:r>
      <w:r w:rsidR="00AD2F69">
        <w:t>possa ter</w:t>
      </w:r>
      <w:r w:rsidR="00FF3256">
        <w:t xml:space="preserve"> sido contábil, só o fato de cessar as retiradas foi uma vitória. Destacamos, por outro lado, que o Tesouro estadual no período foi favorecido pelo não pagamento da dívida e por privatizações. </w:t>
      </w:r>
    </w:p>
    <w:p w14:paraId="750146D8" w14:textId="276F8B5C" w:rsidR="00FF3256" w:rsidRPr="0023199B" w:rsidRDefault="00FF3256" w:rsidP="00CA7C16">
      <w:pPr>
        <w:spacing w:line="360" w:lineRule="auto"/>
        <w:ind w:firstLine="567"/>
        <w:contextualSpacing/>
        <w:jc w:val="both"/>
        <w:rPr>
          <w:b/>
          <w:bCs/>
        </w:rPr>
      </w:pPr>
      <w:r w:rsidRPr="0023199B">
        <w:rPr>
          <w:b/>
          <w:bCs/>
        </w:rPr>
        <w:t>Manutenção do Ensino – MDE</w:t>
      </w:r>
    </w:p>
    <w:p w14:paraId="03E60A5F" w14:textId="29585991" w:rsidR="00D81831" w:rsidRDefault="00FF3256" w:rsidP="00CA7C16">
      <w:pPr>
        <w:spacing w:line="360" w:lineRule="auto"/>
        <w:ind w:firstLine="567"/>
        <w:contextualSpacing/>
        <w:jc w:val="both"/>
      </w:pPr>
      <w:r>
        <w:t xml:space="preserve">Conforme tratado </w:t>
      </w:r>
      <w:r w:rsidR="00DA5AEA">
        <w:t>em</w:t>
      </w:r>
      <w:r>
        <w:t xml:space="preserve"> item próprio (3.3.1), somente a longo </w:t>
      </w:r>
      <w:r w:rsidR="007061EC">
        <w:t>prazo, o</w:t>
      </w:r>
      <w:r>
        <w:t xml:space="preserve"> Estado te</w:t>
      </w:r>
      <w:r w:rsidR="0023199B">
        <w:t>rá</w:t>
      </w:r>
      <w:r>
        <w:t xml:space="preserve"> como cumprir o </w:t>
      </w:r>
      <w:r w:rsidR="007061EC">
        <w:t>dispositivo constitucional</w:t>
      </w:r>
      <w:r>
        <w:t xml:space="preserve"> estabelecido pela Emenda </w:t>
      </w:r>
      <w:r w:rsidR="0023199B">
        <w:t xml:space="preserve">n° 108/2020, quando os </w:t>
      </w:r>
      <w:r w:rsidR="007061EC">
        <w:t>servidores aposentados</w:t>
      </w:r>
      <w:r w:rsidR="0023199B">
        <w:t xml:space="preserve"> ou por se aposentar que tenham ingressado no </w:t>
      </w:r>
      <w:r w:rsidR="007061EC">
        <w:t>Estado até</w:t>
      </w:r>
      <w:r w:rsidR="0023199B">
        <w:t xml:space="preserve"> 31/03/2003 fiquem reduzidos. Qualquer promessa em contrário é eleitoreira. Não adianta derrubar o Parecer n° 18.790/2021, da PGE, porque continuará faltando dinheiro para o cumprimento em causa. </w:t>
      </w:r>
      <w:r w:rsidR="00AD2F69">
        <w:t xml:space="preserve">Isso é mais um exemplo das decisões tomadas em Brasília, sem considerar as peculiaridades locais, como foi o caso do piso nacional do magistério, pensão integral, </w:t>
      </w:r>
      <w:r w:rsidR="00D81831">
        <w:t xml:space="preserve">redução das alíquotas do ICMS, entre outras. </w:t>
      </w:r>
    </w:p>
    <w:p w14:paraId="04BC79FE" w14:textId="25BFBDEB" w:rsidR="00FF3256" w:rsidRDefault="00D81831" w:rsidP="00CA7C16">
      <w:pPr>
        <w:spacing w:line="360" w:lineRule="auto"/>
        <w:ind w:firstLine="567"/>
        <w:contextualSpacing/>
        <w:jc w:val="both"/>
      </w:pPr>
      <w:r>
        <w:t xml:space="preserve">Isso não nos isenta da culpa, porque no passado criamos benesses por decisões </w:t>
      </w:r>
      <w:r w:rsidR="007061EC">
        <w:t>imediatistas, inconsequentes</w:t>
      </w:r>
      <w:r>
        <w:t xml:space="preserve">, esquecendo que os anos de passariam e a conta chegaria. </w:t>
      </w:r>
    </w:p>
    <w:p w14:paraId="41C95AAB" w14:textId="77777777" w:rsidR="00F3452E" w:rsidRDefault="00F3452E" w:rsidP="00CA7C16">
      <w:pPr>
        <w:spacing w:line="360" w:lineRule="auto"/>
        <w:ind w:firstLine="567"/>
        <w:contextualSpacing/>
        <w:jc w:val="both"/>
      </w:pPr>
    </w:p>
    <w:p w14:paraId="16996358" w14:textId="3B7D9786" w:rsidR="00CA7C16" w:rsidRDefault="007061EC" w:rsidP="007061EC">
      <w:pPr>
        <w:spacing w:line="360" w:lineRule="auto"/>
        <w:ind w:firstLine="567"/>
        <w:contextualSpacing/>
        <w:jc w:val="center"/>
      </w:pPr>
      <w:r>
        <w:t>Porto Alegre, 30 de setembro de 2023.</w:t>
      </w:r>
    </w:p>
    <w:p w14:paraId="1584EE3A" w14:textId="77777777" w:rsidR="00CA7C16" w:rsidRPr="00325EC5" w:rsidRDefault="00CA7C16" w:rsidP="00CA7C16">
      <w:pPr>
        <w:spacing w:line="360" w:lineRule="auto"/>
        <w:ind w:firstLine="567"/>
        <w:contextualSpacing/>
        <w:jc w:val="both"/>
      </w:pPr>
    </w:p>
    <w:p w14:paraId="67996E49" w14:textId="77777777" w:rsidR="00132508" w:rsidRDefault="00132508" w:rsidP="00132508">
      <w:pPr>
        <w:spacing w:line="360" w:lineRule="auto"/>
        <w:jc w:val="both"/>
        <w:rPr>
          <w:b/>
          <w:bCs/>
        </w:rPr>
      </w:pPr>
    </w:p>
    <w:p w14:paraId="572EEDD3" w14:textId="77777777" w:rsidR="00132508" w:rsidRDefault="00132508" w:rsidP="00132508">
      <w:pPr>
        <w:spacing w:line="360" w:lineRule="auto"/>
        <w:jc w:val="both"/>
        <w:rPr>
          <w:b/>
          <w:bCs/>
        </w:rPr>
      </w:pPr>
    </w:p>
    <w:p w14:paraId="5710B78F" w14:textId="77777777" w:rsidR="00132508" w:rsidRDefault="00132508" w:rsidP="00132508">
      <w:pPr>
        <w:spacing w:line="360" w:lineRule="auto"/>
        <w:jc w:val="both"/>
        <w:rPr>
          <w:b/>
          <w:bCs/>
        </w:rPr>
      </w:pPr>
    </w:p>
    <w:p w14:paraId="4BB3B66A" w14:textId="77777777" w:rsidR="00132508" w:rsidRPr="00132508" w:rsidRDefault="00132508" w:rsidP="00132508">
      <w:pPr>
        <w:spacing w:line="360" w:lineRule="auto"/>
        <w:jc w:val="both"/>
        <w:rPr>
          <w:b/>
          <w:bCs/>
        </w:rPr>
      </w:pPr>
    </w:p>
    <w:p w14:paraId="655338C9" w14:textId="77777777" w:rsidR="0044345D" w:rsidRPr="0044345D" w:rsidRDefault="0044345D" w:rsidP="0044345D">
      <w:pPr>
        <w:spacing w:line="360" w:lineRule="auto"/>
        <w:jc w:val="both"/>
        <w:rPr>
          <w:b/>
          <w:bCs/>
        </w:rPr>
      </w:pPr>
    </w:p>
    <w:sectPr w:rsidR="0044345D" w:rsidRPr="0044345D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7A97" w14:textId="77777777" w:rsidR="00742F66" w:rsidRDefault="00742F66" w:rsidP="00E92F62">
      <w:pPr>
        <w:spacing w:after="0" w:line="240" w:lineRule="auto"/>
      </w:pPr>
      <w:r>
        <w:separator/>
      </w:r>
    </w:p>
  </w:endnote>
  <w:endnote w:type="continuationSeparator" w:id="0">
    <w:p w14:paraId="6A5392FA" w14:textId="77777777" w:rsidR="00742F66" w:rsidRDefault="00742F66" w:rsidP="00E9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321399"/>
      <w:docPartObj>
        <w:docPartGallery w:val="Page Numbers (Bottom of Page)"/>
        <w:docPartUnique/>
      </w:docPartObj>
    </w:sdtPr>
    <w:sdtContent>
      <w:p w14:paraId="32706885" w14:textId="1A21C918" w:rsidR="00281778" w:rsidRDefault="002817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223">
          <w:rPr>
            <w:noProof/>
          </w:rPr>
          <w:t>19</w:t>
        </w:r>
        <w:r>
          <w:fldChar w:fldCharType="end"/>
        </w:r>
      </w:p>
    </w:sdtContent>
  </w:sdt>
  <w:p w14:paraId="6DF69744" w14:textId="77777777" w:rsidR="00281778" w:rsidRDefault="002817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6706" w14:textId="77777777" w:rsidR="00742F66" w:rsidRDefault="00742F66" w:rsidP="00E92F62">
      <w:pPr>
        <w:spacing w:after="0" w:line="240" w:lineRule="auto"/>
      </w:pPr>
      <w:r>
        <w:separator/>
      </w:r>
    </w:p>
  </w:footnote>
  <w:footnote w:type="continuationSeparator" w:id="0">
    <w:p w14:paraId="6636ADC9" w14:textId="77777777" w:rsidR="00742F66" w:rsidRDefault="00742F66" w:rsidP="00E92F62">
      <w:pPr>
        <w:spacing w:after="0" w:line="240" w:lineRule="auto"/>
      </w:pPr>
      <w:r>
        <w:continuationSeparator/>
      </w:r>
    </w:p>
  </w:footnote>
  <w:footnote w:id="1">
    <w:p w14:paraId="5582457B" w14:textId="159FF9ED" w:rsidR="00281778" w:rsidRDefault="00281778">
      <w:pPr>
        <w:pStyle w:val="Textodenotaderodap"/>
      </w:pPr>
      <w:r>
        <w:rPr>
          <w:rStyle w:val="Refdenotaderodap"/>
        </w:rPr>
        <w:footnoteRef/>
      </w:r>
      <w:r>
        <w:t xml:space="preserve"> Foram cinco anos decorrentes da liminar de 2017 e mais cinco da dilatação dos pagamentos do RRF.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266A"/>
    <w:multiLevelType w:val="multilevel"/>
    <w:tmpl w:val="7FCA0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6A833D0"/>
    <w:multiLevelType w:val="multilevel"/>
    <w:tmpl w:val="EBD870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 w15:restartNumberingAfterBreak="0">
    <w:nsid w:val="36BF73E8"/>
    <w:multiLevelType w:val="hybridMultilevel"/>
    <w:tmpl w:val="3A264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02494"/>
    <w:multiLevelType w:val="multilevel"/>
    <w:tmpl w:val="10803D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47926B4"/>
    <w:multiLevelType w:val="hybridMultilevel"/>
    <w:tmpl w:val="41BE9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0B79"/>
    <w:multiLevelType w:val="multilevel"/>
    <w:tmpl w:val="7FCA0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73690868">
    <w:abstractNumId w:val="4"/>
  </w:num>
  <w:num w:numId="2" w16cid:durableId="1544906468">
    <w:abstractNumId w:val="5"/>
  </w:num>
  <w:num w:numId="3" w16cid:durableId="2106222465">
    <w:abstractNumId w:val="0"/>
  </w:num>
  <w:num w:numId="4" w16cid:durableId="860701523">
    <w:abstractNumId w:val="3"/>
  </w:num>
  <w:num w:numId="5" w16cid:durableId="1582637696">
    <w:abstractNumId w:val="2"/>
  </w:num>
  <w:num w:numId="6" w16cid:durableId="35831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DD"/>
    <w:rsid w:val="000172E6"/>
    <w:rsid w:val="00027B1B"/>
    <w:rsid w:val="00032617"/>
    <w:rsid w:val="0003286F"/>
    <w:rsid w:val="00034016"/>
    <w:rsid w:val="00035CF8"/>
    <w:rsid w:val="00050E01"/>
    <w:rsid w:val="000642CE"/>
    <w:rsid w:val="00066947"/>
    <w:rsid w:val="000B1461"/>
    <w:rsid w:val="000C7087"/>
    <w:rsid w:val="000D192A"/>
    <w:rsid w:val="000D5D43"/>
    <w:rsid w:val="000E76C4"/>
    <w:rsid w:val="001030E3"/>
    <w:rsid w:val="001068E5"/>
    <w:rsid w:val="001078C1"/>
    <w:rsid w:val="00107B5E"/>
    <w:rsid w:val="00107E96"/>
    <w:rsid w:val="00110924"/>
    <w:rsid w:val="00132508"/>
    <w:rsid w:val="001375C2"/>
    <w:rsid w:val="00144EFA"/>
    <w:rsid w:val="00162541"/>
    <w:rsid w:val="001A6971"/>
    <w:rsid w:val="001C175E"/>
    <w:rsid w:val="001C1B95"/>
    <w:rsid w:val="001C2528"/>
    <w:rsid w:val="001D1246"/>
    <w:rsid w:val="001D1D44"/>
    <w:rsid w:val="001F6E65"/>
    <w:rsid w:val="00203BA9"/>
    <w:rsid w:val="00210A17"/>
    <w:rsid w:val="0022436B"/>
    <w:rsid w:val="0023199B"/>
    <w:rsid w:val="002549E2"/>
    <w:rsid w:val="00281778"/>
    <w:rsid w:val="002A3DA5"/>
    <w:rsid w:val="002C496E"/>
    <w:rsid w:val="002C7926"/>
    <w:rsid w:val="002E4C55"/>
    <w:rsid w:val="002E7CF1"/>
    <w:rsid w:val="002F04C5"/>
    <w:rsid w:val="002F12C5"/>
    <w:rsid w:val="003168B6"/>
    <w:rsid w:val="00325EC5"/>
    <w:rsid w:val="003341C5"/>
    <w:rsid w:val="0034205E"/>
    <w:rsid w:val="00363492"/>
    <w:rsid w:val="0037106C"/>
    <w:rsid w:val="003762FC"/>
    <w:rsid w:val="003D18D8"/>
    <w:rsid w:val="003D5AA7"/>
    <w:rsid w:val="003E450E"/>
    <w:rsid w:val="00442B23"/>
    <w:rsid w:val="0044345D"/>
    <w:rsid w:val="00495409"/>
    <w:rsid w:val="004B28B1"/>
    <w:rsid w:val="004C25C6"/>
    <w:rsid w:val="004F169C"/>
    <w:rsid w:val="004F4ADD"/>
    <w:rsid w:val="00517C8C"/>
    <w:rsid w:val="005227A0"/>
    <w:rsid w:val="005330EF"/>
    <w:rsid w:val="00533AFA"/>
    <w:rsid w:val="00560377"/>
    <w:rsid w:val="00561332"/>
    <w:rsid w:val="0056431D"/>
    <w:rsid w:val="00567C02"/>
    <w:rsid w:val="00567E1E"/>
    <w:rsid w:val="005752A4"/>
    <w:rsid w:val="0058062B"/>
    <w:rsid w:val="005D0FE2"/>
    <w:rsid w:val="005F540B"/>
    <w:rsid w:val="00692F4D"/>
    <w:rsid w:val="0069510D"/>
    <w:rsid w:val="006C42E5"/>
    <w:rsid w:val="006E3320"/>
    <w:rsid w:val="006E6AD2"/>
    <w:rsid w:val="006E7E17"/>
    <w:rsid w:val="006F56B0"/>
    <w:rsid w:val="007061EC"/>
    <w:rsid w:val="007329BC"/>
    <w:rsid w:val="00742F66"/>
    <w:rsid w:val="00767BE7"/>
    <w:rsid w:val="00786116"/>
    <w:rsid w:val="007D511D"/>
    <w:rsid w:val="007D573E"/>
    <w:rsid w:val="00811005"/>
    <w:rsid w:val="008137F7"/>
    <w:rsid w:val="0083289D"/>
    <w:rsid w:val="00837473"/>
    <w:rsid w:val="008558BD"/>
    <w:rsid w:val="00863D43"/>
    <w:rsid w:val="00872F00"/>
    <w:rsid w:val="00873C59"/>
    <w:rsid w:val="00876D2E"/>
    <w:rsid w:val="008906F9"/>
    <w:rsid w:val="008973DA"/>
    <w:rsid w:val="008A1A2A"/>
    <w:rsid w:val="008A76A1"/>
    <w:rsid w:val="008F54BE"/>
    <w:rsid w:val="008F7CE3"/>
    <w:rsid w:val="00900E9F"/>
    <w:rsid w:val="009126E9"/>
    <w:rsid w:val="00950DCB"/>
    <w:rsid w:val="00957D99"/>
    <w:rsid w:val="00987C41"/>
    <w:rsid w:val="00992FC7"/>
    <w:rsid w:val="009A2BF4"/>
    <w:rsid w:val="009C4066"/>
    <w:rsid w:val="009C42F0"/>
    <w:rsid w:val="009C48E5"/>
    <w:rsid w:val="009C7227"/>
    <w:rsid w:val="009E3BEB"/>
    <w:rsid w:val="009E4339"/>
    <w:rsid w:val="009F7D5D"/>
    <w:rsid w:val="00A43307"/>
    <w:rsid w:val="00A67223"/>
    <w:rsid w:val="00A81BFA"/>
    <w:rsid w:val="00A83709"/>
    <w:rsid w:val="00A92649"/>
    <w:rsid w:val="00AA0424"/>
    <w:rsid w:val="00AB31AB"/>
    <w:rsid w:val="00AD2F69"/>
    <w:rsid w:val="00AD756F"/>
    <w:rsid w:val="00AE4A80"/>
    <w:rsid w:val="00B24DDD"/>
    <w:rsid w:val="00B33590"/>
    <w:rsid w:val="00B768A7"/>
    <w:rsid w:val="00B807B2"/>
    <w:rsid w:val="00B83E4C"/>
    <w:rsid w:val="00B92443"/>
    <w:rsid w:val="00BB6938"/>
    <w:rsid w:val="00BD6DB0"/>
    <w:rsid w:val="00C26488"/>
    <w:rsid w:val="00C26A8F"/>
    <w:rsid w:val="00C27BE6"/>
    <w:rsid w:val="00C4055D"/>
    <w:rsid w:val="00C52C9B"/>
    <w:rsid w:val="00C65C71"/>
    <w:rsid w:val="00C90393"/>
    <w:rsid w:val="00C94703"/>
    <w:rsid w:val="00CA05C2"/>
    <w:rsid w:val="00CA7C16"/>
    <w:rsid w:val="00CD2B0D"/>
    <w:rsid w:val="00CD60CE"/>
    <w:rsid w:val="00CF303F"/>
    <w:rsid w:val="00D059A8"/>
    <w:rsid w:val="00D36C1C"/>
    <w:rsid w:val="00D46BE8"/>
    <w:rsid w:val="00D81831"/>
    <w:rsid w:val="00D851B5"/>
    <w:rsid w:val="00D934EE"/>
    <w:rsid w:val="00D96A18"/>
    <w:rsid w:val="00DA1E87"/>
    <w:rsid w:val="00DA5AEA"/>
    <w:rsid w:val="00DC242E"/>
    <w:rsid w:val="00DC63F4"/>
    <w:rsid w:val="00DD4713"/>
    <w:rsid w:val="00E0126A"/>
    <w:rsid w:val="00E37795"/>
    <w:rsid w:val="00E4307D"/>
    <w:rsid w:val="00E814E7"/>
    <w:rsid w:val="00E92F62"/>
    <w:rsid w:val="00EA6079"/>
    <w:rsid w:val="00EB3CB1"/>
    <w:rsid w:val="00EC0264"/>
    <w:rsid w:val="00ED1C28"/>
    <w:rsid w:val="00ED35B2"/>
    <w:rsid w:val="00F3452E"/>
    <w:rsid w:val="00F374F7"/>
    <w:rsid w:val="00F41286"/>
    <w:rsid w:val="00F51EED"/>
    <w:rsid w:val="00F606D1"/>
    <w:rsid w:val="00F744D9"/>
    <w:rsid w:val="00F91B7D"/>
    <w:rsid w:val="00FC3278"/>
    <w:rsid w:val="00FE28E5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14E2"/>
  <w15:chartTrackingRefBased/>
  <w15:docId w15:val="{7108B54E-54E9-4C0E-BC11-5E969B31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46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6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2F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24DD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4DD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A1A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92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F62"/>
  </w:style>
  <w:style w:type="paragraph" w:styleId="Rodap">
    <w:name w:val="footer"/>
    <w:basedOn w:val="Normal"/>
    <w:link w:val="RodapChar"/>
    <w:uiPriority w:val="99"/>
    <w:unhideWhenUsed/>
    <w:rsid w:val="00E92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F62"/>
  </w:style>
  <w:style w:type="character" w:customStyle="1" w:styleId="Ttulo2Char">
    <w:name w:val="Título 2 Char"/>
    <w:basedOn w:val="Fontepargpadro"/>
    <w:link w:val="Ttulo2"/>
    <w:uiPriority w:val="9"/>
    <w:semiHidden/>
    <w:rsid w:val="00D46B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D4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D46BE8"/>
    <w:pPr>
      <w:outlineLvl w:val="9"/>
    </w:pPr>
    <w:rPr>
      <w:kern w:val="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D46BE8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D46BE8"/>
    <w:pPr>
      <w:spacing w:after="100"/>
      <w:ind w:left="240"/>
    </w:pPr>
  </w:style>
  <w:style w:type="character" w:customStyle="1" w:styleId="Ttulo3Char">
    <w:name w:val="Título 3 Char"/>
    <w:basedOn w:val="Fontepargpadro"/>
    <w:link w:val="Ttulo3"/>
    <w:uiPriority w:val="9"/>
    <w:semiHidden/>
    <w:rsid w:val="00692F4D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692F4D"/>
    <w:pPr>
      <w:spacing w:after="100"/>
      <w:ind w:left="48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126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126A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E01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&#231;asrs.com.gov.br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darcyfcs@terra.com.br" TargetMode="External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cy\Dropbox\Docs_darcy\Propostas%20or&#231;ament&#225;rias\Proposta%20or&#231;ament&#225;ria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Planilha1!$M$12</c:f>
              <c:strCache>
                <c:ptCount val="1"/>
                <c:pt idx="0">
                  <c:v>Déficit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13-4052-8083-107341EF1711}"/>
                </c:ext>
              </c:extLst>
            </c:dLbl>
            <c:dLbl>
              <c:idx val="14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13-4052-8083-107341EF1711}"/>
                </c:ext>
              </c:extLst>
            </c:dLbl>
            <c:dLbl>
              <c:idx val="1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13-4052-8083-107341EF17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Planilha1!$L$13:$L$31</c:f>
              <c:numCache>
                <c:formatCode>General</c:formatCode>
                <c:ptCount val="1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  <c:pt idx="17">
                  <c:v>2021</c:v>
                </c:pt>
                <c:pt idx="18">
                  <c:v>2022</c:v>
                </c:pt>
              </c:numCache>
            </c:numRef>
          </c:cat>
          <c:val>
            <c:numRef>
              <c:f>Planilha1!$M$13:$M$31</c:f>
              <c:numCache>
                <c:formatCode>0.0%</c:formatCode>
                <c:ptCount val="19"/>
                <c:pt idx="0">
                  <c:v>0.19555083215769864</c:v>
                </c:pt>
                <c:pt idx="1">
                  <c:v>0.20862364774917885</c:v>
                </c:pt>
                <c:pt idx="2">
                  <c:v>0.20287894781704655</c:v>
                </c:pt>
                <c:pt idx="3">
                  <c:v>0.21702162400615191</c:v>
                </c:pt>
                <c:pt idx="4">
                  <c:v>0.20473693390145675</c:v>
                </c:pt>
                <c:pt idx="5">
                  <c:v>0.21795223146051787</c:v>
                </c:pt>
                <c:pt idx="6">
                  <c:v>0.21873123466737696</c:v>
                </c:pt>
                <c:pt idx="7">
                  <c:v>0.22518284444106645</c:v>
                </c:pt>
                <c:pt idx="8">
                  <c:v>0.24680970754993783</c:v>
                </c:pt>
                <c:pt idx="9">
                  <c:v>0.23181325522945764</c:v>
                </c:pt>
                <c:pt idx="10">
                  <c:v>0.23561108292595689</c:v>
                </c:pt>
                <c:pt idx="11">
                  <c:v>0.26278989837882683</c:v>
                </c:pt>
                <c:pt idx="12">
                  <c:v>0.23999614291430668</c:v>
                </c:pt>
                <c:pt idx="13">
                  <c:v>0.27813880466163043</c:v>
                </c:pt>
                <c:pt idx="14">
                  <c:v>0.29176402328692413</c:v>
                </c:pt>
                <c:pt idx="15">
                  <c:v>0.27806162756791342</c:v>
                </c:pt>
                <c:pt idx="16">
                  <c:v>0.21594862054647351</c:v>
                </c:pt>
                <c:pt idx="17">
                  <c:v>0.16716120067739881</c:v>
                </c:pt>
                <c:pt idx="18">
                  <c:v>0.17183723832698888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D13-4052-8083-107341EF1711}"/>
            </c:ext>
          </c:extLst>
        </c:ser>
        <c:ser>
          <c:idx val="1"/>
          <c:order val="1"/>
          <c:tx>
            <c:strRef>
              <c:f>Planilha1!$N$12</c:f>
              <c:strCache>
                <c:ptCount val="1"/>
                <c:pt idx="0">
                  <c:v>Necessidade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D13-4052-8083-107341EF1711}"/>
                </c:ext>
              </c:extLst>
            </c:dLbl>
            <c:dLbl>
              <c:idx val="14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13-4052-8083-107341EF1711}"/>
                </c:ext>
              </c:extLst>
            </c:dLbl>
            <c:dLbl>
              <c:idx val="1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D13-4052-8083-107341EF17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Planilha1!$L$13:$L$31</c:f>
              <c:numCache>
                <c:formatCode>General</c:formatCode>
                <c:ptCount val="1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  <c:pt idx="17">
                  <c:v>2021</c:v>
                </c:pt>
                <c:pt idx="18">
                  <c:v>2022</c:v>
                </c:pt>
              </c:numCache>
            </c:numRef>
          </c:cat>
          <c:val>
            <c:numRef>
              <c:f>Planilha1!$N$13:$N$31</c:f>
              <c:numCache>
                <c:formatCode>0.0%</c:formatCode>
                <c:ptCount val="19"/>
                <c:pt idx="0">
                  <c:v>0.28293585523224712</c:v>
                </c:pt>
                <c:pt idx="1">
                  <c:v>0.28493455851306954</c:v>
                </c:pt>
                <c:pt idx="2">
                  <c:v>0.28083165955603806</c:v>
                </c:pt>
                <c:pt idx="3">
                  <c:v>0.29883650235462728</c:v>
                </c:pt>
                <c:pt idx="4">
                  <c:v>0.27475390674711747</c:v>
                </c:pt>
                <c:pt idx="5">
                  <c:v>0.28975962421268431</c:v>
                </c:pt>
                <c:pt idx="6">
                  <c:v>0.27606071403982885</c:v>
                </c:pt>
                <c:pt idx="7">
                  <c:v>0.28833888889750287</c:v>
                </c:pt>
                <c:pt idx="8">
                  <c:v>0.30619799928823443</c:v>
                </c:pt>
                <c:pt idx="9">
                  <c:v>0.30143522429436037</c:v>
                </c:pt>
                <c:pt idx="10">
                  <c:v>0.31195601370191289</c:v>
                </c:pt>
                <c:pt idx="11">
                  <c:v>0.33680166489191671</c:v>
                </c:pt>
                <c:pt idx="12">
                  <c:v>0.30522334230178638</c:v>
                </c:pt>
                <c:pt idx="13">
                  <c:v>0.33417478436138864</c:v>
                </c:pt>
                <c:pt idx="14">
                  <c:v>0.3606693153488339</c:v>
                </c:pt>
                <c:pt idx="15">
                  <c:v>0.34774409426592906</c:v>
                </c:pt>
                <c:pt idx="16">
                  <c:v>0.31714587501710423</c:v>
                </c:pt>
                <c:pt idx="17">
                  <c:v>0.26680555796417937</c:v>
                </c:pt>
                <c:pt idx="18">
                  <c:v>0.2769630002311716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D13-4052-8083-107341EF1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8757903"/>
        <c:axId val="609020015"/>
      </c:lineChart>
      <c:catAx>
        <c:axId val="3587579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09020015"/>
        <c:crosses val="autoZero"/>
        <c:auto val="1"/>
        <c:lblAlgn val="ctr"/>
        <c:lblOffset val="100"/>
        <c:noMultiLvlLbl val="0"/>
      </c:catAx>
      <c:valAx>
        <c:axId val="609020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58757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DF1A-90C3-4A2F-AD05-382B2049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22</Pages>
  <Words>5426</Words>
  <Characters>29303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Santos</dc:creator>
  <cp:keywords/>
  <dc:description/>
  <cp:lastModifiedBy>Darcy Santos</cp:lastModifiedBy>
  <cp:revision>79</cp:revision>
  <cp:lastPrinted>2023-09-26T12:24:00Z</cp:lastPrinted>
  <dcterms:created xsi:type="dcterms:W3CDTF">2023-09-25T21:59:00Z</dcterms:created>
  <dcterms:modified xsi:type="dcterms:W3CDTF">2023-10-10T11:54:00Z</dcterms:modified>
</cp:coreProperties>
</file>